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09" w:rsidRDefault="00641109" w:rsidP="006E4C36">
      <w:pPr>
        <w:spacing w:before="100" w:beforeAutospacing="1" w:after="0" w:line="240" w:lineRule="auto"/>
        <w:ind w:left="-57" w:right="6" w:firstLine="675"/>
        <w:jc w:val="center"/>
        <w:rPr>
          <w:rFonts w:ascii="Times New Roman" w:eastAsia="Times New Roman" w:hAnsi="Times New Roman" w:cs="Times New Roman"/>
          <w:b/>
          <w:bCs/>
          <w:sz w:val="28"/>
          <w:szCs w:val="28"/>
          <w:lang w:eastAsia="ru-RU"/>
        </w:rPr>
      </w:pPr>
      <w:r w:rsidRPr="00641109">
        <w:rPr>
          <w:rFonts w:ascii="Times New Roman" w:eastAsia="Times New Roman" w:hAnsi="Times New Roman" w:cs="Times New Roman"/>
          <w:b/>
          <w:bCs/>
          <w:sz w:val="28"/>
          <w:szCs w:val="28"/>
          <w:lang w:eastAsia="ru-RU"/>
        </w:rPr>
        <w:t>Контрол</w:t>
      </w:r>
      <w:bookmarkStart w:id="0" w:name="_GoBack"/>
      <w:bookmarkEnd w:id="0"/>
      <w:r w:rsidRPr="00641109">
        <w:rPr>
          <w:rFonts w:ascii="Times New Roman" w:eastAsia="Times New Roman" w:hAnsi="Times New Roman" w:cs="Times New Roman"/>
          <w:b/>
          <w:bCs/>
          <w:sz w:val="28"/>
          <w:szCs w:val="28"/>
          <w:lang w:eastAsia="ru-RU"/>
        </w:rPr>
        <w:t xml:space="preserve">ь </w:t>
      </w:r>
      <w:r>
        <w:rPr>
          <w:rFonts w:ascii="Times New Roman" w:eastAsia="Times New Roman" w:hAnsi="Times New Roman" w:cs="Times New Roman"/>
          <w:b/>
          <w:bCs/>
          <w:sz w:val="28"/>
          <w:szCs w:val="28"/>
          <w:lang w:eastAsia="ru-RU"/>
        </w:rPr>
        <w:t>сферы государственных закупок</w:t>
      </w:r>
    </w:p>
    <w:p w:rsidR="00D72099" w:rsidRPr="00D72099" w:rsidRDefault="00D72099" w:rsidP="00DE282A">
      <w:pPr>
        <w:spacing w:before="100" w:beforeAutospacing="1" w:after="0" w:line="240" w:lineRule="auto"/>
        <w:ind w:left="-57" w:right="6" w:firstLine="675"/>
        <w:jc w:val="both"/>
        <w:rPr>
          <w:rFonts w:ascii="Times New Roman" w:eastAsia="Times New Roman" w:hAnsi="Times New Roman" w:cs="Times New Roman"/>
          <w:b/>
          <w:bCs/>
          <w:sz w:val="28"/>
          <w:szCs w:val="28"/>
          <w:lang w:eastAsia="ru-RU"/>
        </w:rPr>
      </w:pPr>
      <w:r w:rsidRPr="00D72099">
        <w:rPr>
          <w:rFonts w:ascii="Times New Roman" w:eastAsia="Times New Roman" w:hAnsi="Times New Roman" w:cs="Times New Roman"/>
          <w:b/>
          <w:bCs/>
          <w:sz w:val="28"/>
          <w:szCs w:val="28"/>
          <w:lang w:eastAsia="ru-RU"/>
        </w:rPr>
        <w:t>Жалобы</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 xml:space="preserve">В рамках осуществления контроля за закупками </w:t>
      </w:r>
      <w:r w:rsidR="00BF3C18">
        <w:rPr>
          <w:rFonts w:ascii="Times New Roman" w:eastAsia="Times New Roman" w:hAnsi="Times New Roman" w:cs="Times New Roman"/>
          <w:bCs/>
          <w:sz w:val="28"/>
          <w:szCs w:val="28"/>
          <w:lang w:eastAsia="ru-RU"/>
        </w:rPr>
        <w:t xml:space="preserve">в рамках Закона о контрактной системе </w:t>
      </w:r>
      <w:r w:rsidRPr="00DE282A">
        <w:rPr>
          <w:rFonts w:ascii="Times New Roman" w:eastAsia="Times New Roman" w:hAnsi="Times New Roman" w:cs="Times New Roman"/>
          <w:bCs/>
          <w:sz w:val="28"/>
          <w:szCs w:val="28"/>
          <w:lang w:eastAsia="ru-RU"/>
        </w:rPr>
        <w:t xml:space="preserve">за три квартала 2020 года в Московское УФАС России поступило </w:t>
      </w:r>
      <w:r w:rsidR="00BF3C18">
        <w:rPr>
          <w:rFonts w:ascii="Times New Roman" w:eastAsia="Times New Roman" w:hAnsi="Times New Roman" w:cs="Times New Roman"/>
          <w:bCs/>
          <w:sz w:val="28"/>
          <w:szCs w:val="28"/>
          <w:lang w:eastAsia="ru-RU"/>
        </w:rPr>
        <w:t xml:space="preserve">более 7 тыс. жалоб (7372 жалобы) </w:t>
      </w:r>
      <w:r w:rsidRPr="00DE282A">
        <w:rPr>
          <w:rFonts w:ascii="Times New Roman" w:eastAsia="Times New Roman" w:hAnsi="Times New Roman" w:cs="Times New Roman"/>
          <w:bCs/>
          <w:sz w:val="28"/>
          <w:szCs w:val="28"/>
          <w:lang w:eastAsia="ru-RU"/>
        </w:rPr>
        <w:t>от участников закупок на действия (бездействия) субъектов контроля, из которых рассмотрено 5490 жалоб, при этом обоснованными признаны 2983 жалобы</w:t>
      </w:r>
      <w:r w:rsidR="00BF3C18">
        <w:rPr>
          <w:rFonts w:ascii="Times New Roman" w:eastAsia="Times New Roman" w:hAnsi="Times New Roman" w:cs="Times New Roman"/>
          <w:bCs/>
          <w:sz w:val="28"/>
          <w:szCs w:val="28"/>
          <w:lang w:eastAsia="ru-RU"/>
        </w:rPr>
        <w:t>,</w:t>
      </w:r>
      <w:r w:rsidRPr="00DE282A">
        <w:rPr>
          <w:rFonts w:ascii="Times New Roman" w:eastAsia="Times New Roman" w:hAnsi="Times New Roman" w:cs="Times New Roman"/>
          <w:bCs/>
          <w:sz w:val="28"/>
          <w:szCs w:val="28"/>
          <w:lang w:eastAsia="ru-RU"/>
        </w:rPr>
        <w:t xml:space="preserve"> то есть около 54% от общего числа рассмотренных жалоб.</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При этом за аналогичный период 2019 года в антимонопольный орган поступило 9789 жалоб, из которых рассмотрено 6748 жалоб, при этом обоснованными признаны 3207 жалобы, то есть около 47,5%.</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 xml:space="preserve">Таким образом, количество поступивших жалоб в Московское УФАС </w:t>
      </w:r>
      <w:r w:rsidR="00BF3C18" w:rsidRPr="00DE282A">
        <w:rPr>
          <w:rFonts w:ascii="Times New Roman" w:eastAsia="Times New Roman" w:hAnsi="Times New Roman" w:cs="Times New Roman"/>
          <w:bCs/>
          <w:sz w:val="28"/>
          <w:szCs w:val="28"/>
          <w:lang w:eastAsia="ru-RU"/>
        </w:rPr>
        <w:t>России по</w:t>
      </w:r>
      <w:r w:rsidRPr="00DE282A">
        <w:rPr>
          <w:rFonts w:ascii="Times New Roman" w:eastAsia="Times New Roman" w:hAnsi="Times New Roman" w:cs="Times New Roman"/>
          <w:bCs/>
          <w:sz w:val="28"/>
          <w:szCs w:val="28"/>
          <w:lang w:eastAsia="ru-RU"/>
        </w:rPr>
        <w:t xml:space="preserve"> сравнению с 2019 годом сократилось примерно на 24,5 %, в то время как количество рассмотренных жалоб сократилось почти на 18,5 %.</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 xml:space="preserve">Вышеуказанное снижение количество поданных в Управление жалоб, конечно, связано в большей степени с пандемией </w:t>
      </w:r>
      <w:proofErr w:type="spellStart"/>
      <w:r w:rsidRPr="00DE282A">
        <w:rPr>
          <w:rFonts w:ascii="Times New Roman" w:eastAsia="Times New Roman" w:hAnsi="Times New Roman" w:cs="Times New Roman"/>
          <w:bCs/>
          <w:sz w:val="28"/>
          <w:szCs w:val="28"/>
          <w:lang w:eastAsia="ru-RU"/>
        </w:rPr>
        <w:t>коронавируса</w:t>
      </w:r>
      <w:proofErr w:type="spellEnd"/>
      <w:r w:rsidRPr="00DE282A">
        <w:rPr>
          <w:rFonts w:ascii="Times New Roman" w:eastAsia="Times New Roman" w:hAnsi="Times New Roman" w:cs="Times New Roman"/>
          <w:bCs/>
          <w:sz w:val="28"/>
          <w:szCs w:val="28"/>
          <w:lang w:eastAsia="ru-RU"/>
        </w:rPr>
        <w:t xml:space="preserve">, которая повлияла на контрактную систему в городе </w:t>
      </w:r>
      <w:r w:rsidR="00BF3C18" w:rsidRPr="00DE282A">
        <w:rPr>
          <w:rFonts w:ascii="Times New Roman" w:eastAsia="Times New Roman" w:hAnsi="Times New Roman" w:cs="Times New Roman"/>
          <w:bCs/>
          <w:sz w:val="28"/>
          <w:szCs w:val="28"/>
          <w:lang w:eastAsia="ru-RU"/>
        </w:rPr>
        <w:t>Москве,</w:t>
      </w:r>
      <w:r w:rsidRPr="00DE282A">
        <w:rPr>
          <w:rFonts w:ascii="Times New Roman" w:eastAsia="Times New Roman" w:hAnsi="Times New Roman" w:cs="Times New Roman"/>
          <w:bCs/>
          <w:sz w:val="28"/>
          <w:szCs w:val="28"/>
          <w:lang w:eastAsia="ru-RU"/>
        </w:rPr>
        <w:t xml:space="preserve"> как и на все сферы деятельности, в том числе на невозможность публикации закупочных процедур и перераспределением финансирования, понудившим отменить ряд закупок в пользу срочных закупок в медицинской сфере.</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 xml:space="preserve">По результатам рассмотрения жалоб заказчикам выдано 1878 предписания об устранении выявленных нарушений, 99% которых исполнены в установленный срок, в то время как в 2019 году данный показатель составил 2805 с </w:t>
      </w:r>
      <w:r w:rsidR="00BF3C18" w:rsidRPr="00DE282A">
        <w:rPr>
          <w:rFonts w:ascii="Times New Roman" w:eastAsia="Times New Roman" w:hAnsi="Times New Roman" w:cs="Times New Roman"/>
          <w:bCs/>
          <w:sz w:val="28"/>
          <w:szCs w:val="28"/>
          <w:lang w:eastAsia="ru-RU"/>
        </w:rPr>
        <w:t>аналогичным уровнем</w:t>
      </w:r>
      <w:r w:rsidRPr="00DE282A">
        <w:rPr>
          <w:rFonts w:ascii="Times New Roman" w:eastAsia="Times New Roman" w:hAnsi="Times New Roman" w:cs="Times New Roman"/>
          <w:bCs/>
          <w:sz w:val="28"/>
          <w:szCs w:val="28"/>
          <w:lang w:eastAsia="ru-RU"/>
        </w:rPr>
        <w:t xml:space="preserve"> исполнения предписаний.</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Из года в год Заказчиками допускаются идентичные нарушения в части установления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 значения которых становятся для Заказчиков очевидными исходя их иных характеристик товаров или же предлагаемые значения которых напрямую противоречат требованиям соответствующих стандартов.</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В то же самое</w:t>
      </w:r>
      <w:r w:rsidR="00E5221C">
        <w:rPr>
          <w:rFonts w:ascii="Times New Roman" w:eastAsia="Times New Roman" w:hAnsi="Times New Roman" w:cs="Times New Roman"/>
          <w:bCs/>
          <w:sz w:val="28"/>
          <w:szCs w:val="28"/>
          <w:lang w:eastAsia="ru-RU"/>
        </w:rPr>
        <w:t xml:space="preserve"> время, </w:t>
      </w:r>
      <w:r w:rsidR="00E5221C" w:rsidRPr="00DE282A">
        <w:rPr>
          <w:rFonts w:ascii="Times New Roman" w:eastAsia="Times New Roman" w:hAnsi="Times New Roman" w:cs="Times New Roman"/>
          <w:bCs/>
          <w:sz w:val="28"/>
          <w:szCs w:val="28"/>
          <w:lang w:eastAsia="ru-RU"/>
        </w:rPr>
        <w:t>2020</w:t>
      </w:r>
      <w:r w:rsidRPr="00DE282A">
        <w:rPr>
          <w:rFonts w:ascii="Times New Roman" w:eastAsia="Times New Roman" w:hAnsi="Times New Roman" w:cs="Times New Roman"/>
          <w:bCs/>
          <w:sz w:val="28"/>
          <w:szCs w:val="28"/>
          <w:lang w:eastAsia="ru-RU"/>
        </w:rPr>
        <w:t xml:space="preserve"> год ознаменован рядом нарушений при проведении закупочных процедур, связанных с изменениями в </w:t>
      </w:r>
      <w:proofErr w:type="gramStart"/>
      <w:r w:rsidRPr="00DE282A">
        <w:rPr>
          <w:rFonts w:ascii="Times New Roman" w:eastAsia="Times New Roman" w:hAnsi="Times New Roman" w:cs="Times New Roman"/>
          <w:bCs/>
          <w:sz w:val="28"/>
          <w:szCs w:val="28"/>
          <w:lang w:eastAsia="ru-RU"/>
        </w:rPr>
        <w:t>законодательстве,  к</w:t>
      </w:r>
      <w:proofErr w:type="gramEnd"/>
      <w:r w:rsidRPr="00DE282A">
        <w:rPr>
          <w:rFonts w:ascii="Times New Roman" w:eastAsia="Times New Roman" w:hAnsi="Times New Roman" w:cs="Times New Roman"/>
          <w:bCs/>
          <w:sz w:val="28"/>
          <w:szCs w:val="28"/>
          <w:lang w:eastAsia="ru-RU"/>
        </w:rPr>
        <w:t xml:space="preserve"> которым Заказчикам необходимо адаптироваться.</w:t>
      </w:r>
    </w:p>
    <w:p w:rsidR="00DE282A" w:rsidRPr="00DE282A" w:rsidRDefault="00DE282A" w:rsidP="00DE282A">
      <w:pPr>
        <w:spacing w:before="100" w:beforeAutospacing="1" w:after="0" w:line="240" w:lineRule="auto"/>
        <w:ind w:left="-57" w:right="6" w:firstLine="675"/>
        <w:jc w:val="both"/>
        <w:rPr>
          <w:rFonts w:ascii="Times New Roman" w:eastAsia="Times New Roman" w:hAnsi="Times New Roman" w:cs="Times New Roman"/>
          <w:bCs/>
          <w:sz w:val="28"/>
          <w:szCs w:val="28"/>
          <w:lang w:eastAsia="ru-RU"/>
        </w:rPr>
      </w:pPr>
      <w:r w:rsidRPr="00DE282A">
        <w:rPr>
          <w:rFonts w:ascii="Times New Roman" w:eastAsia="Times New Roman" w:hAnsi="Times New Roman" w:cs="Times New Roman"/>
          <w:bCs/>
          <w:sz w:val="28"/>
          <w:szCs w:val="28"/>
          <w:lang w:eastAsia="ru-RU"/>
        </w:rPr>
        <w:t xml:space="preserve">Вступившие в силу изменения в ч.3 ст.66 Закона о контрактной системе, которая с начала года указывает на необходимость представления в составе </w:t>
      </w:r>
      <w:r w:rsidRPr="00DE282A">
        <w:rPr>
          <w:rFonts w:ascii="Times New Roman" w:eastAsia="Times New Roman" w:hAnsi="Times New Roman" w:cs="Times New Roman"/>
          <w:bCs/>
          <w:sz w:val="28"/>
          <w:szCs w:val="28"/>
          <w:lang w:eastAsia="ru-RU"/>
        </w:rPr>
        <w:lastRenderedPageBreak/>
        <w:t>заявки конкретных показателей товаров исключительно в случае их поставки, но не использования при выполнении работ, что явилось причиной нарушения Заказчиками требований Закона о контрактной системе как в части предъявления требований к составу заявки, так и в части рассмотрения поданных заявок.</w:t>
      </w:r>
    </w:p>
    <w:p w:rsidR="00D72099" w:rsidRDefault="00D72099" w:rsidP="00D72099">
      <w:pPr>
        <w:pStyle w:val="NormalWeb"/>
        <w:spacing w:before="0" w:after="0"/>
        <w:ind w:right="6"/>
        <w:jc w:val="both"/>
        <w:rPr>
          <w:sz w:val="28"/>
          <w:szCs w:val="28"/>
        </w:rPr>
      </w:pPr>
    </w:p>
    <w:p w:rsidR="00D72099" w:rsidRPr="00D72099" w:rsidRDefault="00D72099" w:rsidP="00D72099">
      <w:pPr>
        <w:pStyle w:val="NormalWeb"/>
        <w:spacing w:before="0" w:after="0"/>
        <w:ind w:right="6"/>
        <w:jc w:val="both"/>
        <w:rPr>
          <w:b/>
          <w:sz w:val="28"/>
          <w:szCs w:val="28"/>
        </w:rPr>
      </w:pPr>
      <w:r w:rsidRPr="00D72099">
        <w:rPr>
          <w:b/>
          <w:sz w:val="28"/>
          <w:szCs w:val="28"/>
        </w:rPr>
        <w:t>РНП</w:t>
      </w:r>
    </w:p>
    <w:p w:rsidR="006E4C36" w:rsidRPr="00DB5AE0" w:rsidRDefault="00D72099" w:rsidP="00DB5AE0">
      <w:pPr>
        <w:pStyle w:val="NormalWeb"/>
        <w:spacing w:before="0" w:after="0"/>
        <w:ind w:right="6" w:firstLine="851"/>
        <w:jc w:val="both"/>
        <w:rPr>
          <w:sz w:val="28"/>
          <w:szCs w:val="28"/>
        </w:rPr>
      </w:pPr>
      <w:r>
        <w:rPr>
          <w:sz w:val="28"/>
          <w:szCs w:val="28"/>
        </w:rPr>
        <w:t xml:space="preserve">Основные причины </w:t>
      </w:r>
      <w:r w:rsidR="006E4C36" w:rsidRPr="00DB5AE0">
        <w:rPr>
          <w:sz w:val="28"/>
          <w:szCs w:val="28"/>
        </w:rPr>
        <w:t>включения сведений о поставщике (подрядчике, исполнителе) в РНП:</w:t>
      </w:r>
    </w:p>
    <w:p w:rsidR="006E4C36" w:rsidRPr="00DB5AE0" w:rsidRDefault="006E4C36" w:rsidP="00DB5AE0">
      <w:pPr>
        <w:pStyle w:val="NormalWeb"/>
        <w:spacing w:before="0" w:after="0"/>
        <w:ind w:right="6" w:firstLine="851"/>
        <w:jc w:val="both"/>
        <w:rPr>
          <w:sz w:val="28"/>
          <w:szCs w:val="28"/>
        </w:rPr>
      </w:pPr>
      <w:r w:rsidRPr="00DB5AE0">
        <w:rPr>
          <w:sz w:val="28"/>
          <w:szCs w:val="28"/>
        </w:rPr>
        <w:t>– уклонение участника закупки от заключения контракта;</w:t>
      </w:r>
    </w:p>
    <w:p w:rsidR="006E4C36" w:rsidRPr="00DB5AE0" w:rsidRDefault="006E4C36" w:rsidP="00DB5AE0">
      <w:pPr>
        <w:pStyle w:val="NormalWeb"/>
        <w:spacing w:before="0" w:after="0"/>
        <w:ind w:right="6" w:firstLine="851"/>
        <w:jc w:val="both"/>
        <w:rPr>
          <w:sz w:val="28"/>
          <w:szCs w:val="28"/>
        </w:rPr>
      </w:pPr>
      <w:r w:rsidRPr="00DB5AE0">
        <w:rPr>
          <w:sz w:val="28"/>
          <w:szCs w:val="28"/>
        </w:rPr>
        <w:t>– расторжение контракта по решению суда;</w:t>
      </w:r>
    </w:p>
    <w:p w:rsidR="006E4C36" w:rsidRPr="00DB5AE0" w:rsidRDefault="006E4C36" w:rsidP="00DB5AE0">
      <w:pPr>
        <w:pStyle w:val="NormalWeb"/>
        <w:spacing w:before="0" w:after="0"/>
        <w:ind w:right="6" w:firstLine="851"/>
        <w:jc w:val="both"/>
        <w:rPr>
          <w:sz w:val="28"/>
          <w:szCs w:val="28"/>
        </w:rPr>
      </w:pPr>
      <w:r w:rsidRPr="00DB5AE0">
        <w:rPr>
          <w:sz w:val="28"/>
          <w:szCs w:val="28"/>
        </w:rPr>
        <w:t>– односторонний отказ заказчика от исполнения контракта в связи с существенным нарушением подрядчиком условий контракта.</w:t>
      </w:r>
    </w:p>
    <w:p w:rsidR="005D7D38" w:rsidRPr="00DB5AE0" w:rsidRDefault="005D7D38" w:rsidP="005D7D38">
      <w:pPr>
        <w:pStyle w:val="NormalWeb"/>
        <w:spacing w:before="0" w:after="0"/>
        <w:ind w:right="6" w:firstLine="851"/>
        <w:jc w:val="both"/>
        <w:rPr>
          <w:sz w:val="28"/>
          <w:szCs w:val="28"/>
        </w:rPr>
      </w:pPr>
      <w:r w:rsidRPr="00DB5AE0">
        <w:rPr>
          <w:sz w:val="28"/>
          <w:szCs w:val="28"/>
        </w:rPr>
        <w:t xml:space="preserve">В </w:t>
      </w:r>
      <w:r w:rsidRPr="006E4C36">
        <w:rPr>
          <w:bCs/>
          <w:sz w:val="28"/>
          <w:szCs w:val="28"/>
          <w:lang w:val="en-US"/>
        </w:rPr>
        <w:t>I</w:t>
      </w:r>
      <w:r w:rsidRPr="006E4C36">
        <w:rPr>
          <w:bCs/>
          <w:sz w:val="28"/>
          <w:szCs w:val="28"/>
        </w:rPr>
        <w:t>-</w:t>
      </w:r>
      <w:r w:rsidRPr="00DB5AE0">
        <w:rPr>
          <w:bCs/>
          <w:sz w:val="28"/>
          <w:szCs w:val="28"/>
          <w:lang w:val="en-US"/>
        </w:rPr>
        <w:t>III</w:t>
      </w:r>
      <w:r w:rsidRPr="00DB5AE0">
        <w:rPr>
          <w:bCs/>
          <w:sz w:val="28"/>
          <w:szCs w:val="28"/>
        </w:rPr>
        <w:t xml:space="preserve"> кварталах</w:t>
      </w:r>
      <w:r w:rsidRPr="00DB5AE0">
        <w:rPr>
          <w:sz w:val="28"/>
          <w:szCs w:val="28"/>
        </w:rPr>
        <w:t xml:space="preserve"> 2</w:t>
      </w:r>
      <w:r>
        <w:rPr>
          <w:sz w:val="28"/>
          <w:szCs w:val="28"/>
        </w:rPr>
        <w:t>020</w:t>
      </w:r>
      <w:r w:rsidRPr="00DB5AE0">
        <w:rPr>
          <w:sz w:val="28"/>
          <w:szCs w:val="28"/>
        </w:rPr>
        <w:t xml:space="preserve"> года по сравн</w:t>
      </w:r>
      <w:r>
        <w:rPr>
          <w:sz w:val="28"/>
          <w:szCs w:val="28"/>
        </w:rPr>
        <w:t>ению с аналогичным периодом 2019</w:t>
      </w:r>
      <w:r w:rsidRPr="00DB5AE0">
        <w:rPr>
          <w:sz w:val="28"/>
          <w:szCs w:val="28"/>
        </w:rPr>
        <w:t xml:space="preserve"> года количество обращений заказчиков о включении сведений о поставщике (подрядчике, исполнителе) в РНП </w:t>
      </w:r>
      <w:r w:rsidR="00247DC5">
        <w:rPr>
          <w:bCs/>
          <w:sz w:val="28"/>
          <w:szCs w:val="28"/>
        </w:rPr>
        <w:t>уменьшилось</w:t>
      </w:r>
      <w:r w:rsidR="00247DC5">
        <w:rPr>
          <w:sz w:val="28"/>
          <w:szCs w:val="28"/>
        </w:rPr>
        <w:t xml:space="preserve"> на 24% (с</w:t>
      </w:r>
      <w:r w:rsidRPr="00DB5AE0">
        <w:rPr>
          <w:sz w:val="28"/>
          <w:szCs w:val="28"/>
        </w:rPr>
        <w:t xml:space="preserve"> 3817</w:t>
      </w:r>
      <w:r w:rsidR="00247DC5">
        <w:rPr>
          <w:sz w:val="28"/>
          <w:szCs w:val="28"/>
        </w:rPr>
        <w:t xml:space="preserve"> до 2 899</w:t>
      </w:r>
      <w:r w:rsidRPr="00DB5AE0">
        <w:rPr>
          <w:sz w:val="28"/>
          <w:szCs w:val="28"/>
        </w:rPr>
        <w:t>).</w:t>
      </w:r>
    </w:p>
    <w:p w:rsidR="00247DC5" w:rsidRPr="00DB5AE0" w:rsidRDefault="00247DC5" w:rsidP="00247DC5">
      <w:pPr>
        <w:pStyle w:val="NormalWeb"/>
        <w:spacing w:before="0" w:after="0"/>
        <w:ind w:right="6" w:firstLine="851"/>
        <w:jc w:val="both"/>
        <w:rPr>
          <w:sz w:val="28"/>
          <w:szCs w:val="28"/>
        </w:rPr>
      </w:pPr>
      <w:r w:rsidRPr="00DB5AE0">
        <w:rPr>
          <w:sz w:val="28"/>
          <w:szCs w:val="28"/>
        </w:rPr>
        <w:t xml:space="preserve">По факту уклонения от заключения контракта Московским УФАС России в </w:t>
      </w:r>
      <w:r w:rsidR="00323414" w:rsidRPr="006E4C36">
        <w:rPr>
          <w:bCs/>
          <w:sz w:val="28"/>
          <w:szCs w:val="28"/>
          <w:lang w:val="en-US"/>
        </w:rPr>
        <w:t>I</w:t>
      </w:r>
      <w:r w:rsidR="00323414" w:rsidRPr="006E4C36">
        <w:rPr>
          <w:bCs/>
          <w:sz w:val="28"/>
          <w:szCs w:val="28"/>
        </w:rPr>
        <w:t>-</w:t>
      </w:r>
      <w:r w:rsidR="00323414" w:rsidRPr="00DB5AE0">
        <w:rPr>
          <w:bCs/>
          <w:sz w:val="28"/>
          <w:szCs w:val="28"/>
          <w:lang w:val="en-US"/>
        </w:rPr>
        <w:t>III</w:t>
      </w:r>
      <w:r w:rsidR="00323414" w:rsidRPr="00DB5AE0">
        <w:rPr>
          <w:bCs/>
          <w:sz w:val="28"/>
          <w:szCs w:val="28"/>
        </w:rPr>
        <w:t xml:space="preserve"> кварталах</w:t>
      </w:r>
      <w:r w:rsidR="00323414" w:rsidRPr="00DB5AE0">
        <w:rPr>
          <w:sz w:val="28"/>
          <w:szCs w:val="28"/>
        </w:rPr>
        <w:t xml:space="preserve"> 2</w:t>
      </w:r>
      <w:r w:rsidR="00323414">
        <w:rPr>
          <w:sz w:val="28"/>
          <w:szCs w:val="28"/>
        </w:rPr>
        <w:t>020</w:t>
      </w:r>
      <w:r>
        <w:rPr>
          <w:sz w:val="28"/>
          <w:szCs w:val="28"/>
        </w:rPr>
        <w:t xml:space="preserve"> года рассмотрено на </w:t>
      </w:r>
      <w:r w:rsidR="00323414">
        <w:rPr>
          <w:sz w:val="28"/>
          <w:szCs w:val="28"/>
        </w:rPr>
        <w:t>25</w:t>
      </w:r>
      <w:r>
        <w:rPr>
          <w:sz w:val="28"/>
          <w:szCs w:val="28"/>
        </w:rPr>
        <w:t xml:space="preserve"> обращений</w:t>
      </w:r>
      <w:r w:rsidRPr="00DB5AE0">
        <w:rPr>
          <w:sz w:val="28"/>
          <w:szCs w:val="28"/>
        </w:rPr>
        <w:t xml:space="preserve"> о включении сведений о поставщике (подрядчике, исполнителе) в реестр недобросовестных поставщиков </w:t>
      </w:r>
      <w:r>
        <w:rPr>
          <w:sz w:val="28"/>
          <w:szCs w:val="28"/>
        </w:rPr>
        <w:t xml:space="preserve">больше, чем за тот же период </w:t>
      </w:r>
      <w:r w:rsidRPr="00323414">
        <w:rPr>
          <w:sz w:val="28"/>
          <w:szCs w:val="28"/>
        </w:rPr>
        <w:t xml:space="preserve">2019 года (в 2019 году – </w:t>
      </w:r>
      <w:r w:rsidR="00323414" w:rsidRPr="00323414">
        <w:rPr>
          <w:bCs/>
          <w:sz w:val="28"/>
          <w:szCs w:val="28"/>
        </w:rPr>
        <w:t xml:space="preserve">873 </w:t>
      </w:r>
      <w:r w:rsidRPr="00323414">
        <w:rPr>
          <w:sz w:val="28"/>
          <w:szCs w:val="28"/>
        </w:rPr>
        <w:t xml:space="preserve">обращений; в 2020 году – </w:t>
      </w:r>
      <w:r w:rsidR="00323414" w:rsidRPr="00323414">
        <w:rPr>
          <w:sz w:val="28"/>
          <w:szCs w:val="28"/>
        </w:rPr>
        <w:t xml:space="preserve">898 </w:t>
      </w:r>
      <w:r w:rsidRPr="00323414">
        <w:rPr>
          <w:sz w:val="28"/>
          <w:szCs w:val="28"/>
        </w:rPr>
        <w:t>обращений). При этом решения</w:t>
      </w:r>
      <w:r w:rsidRPr="00DB5AE0">
        <w:rPr>
          <w:sz w:val="28"/>
          <w:szCs w:val="28"/>
        </w:rPr>
        <w:t xml:space="preserve"> о включении сведений в РНП по фактам уклонения от заключения контракта в 2</w:t>
      </w:r>
      <w:r w:rsidR="00323414">
        <w:rPr>
          <w:sz w:val="28"/>
          <w:szCs w:val="28"/>
        </w:rPr>
        <w:t>020</w:t>
      </w:r>
      <w:r>
        <w:rPr>
          <w:sz w:val="28"/>
          <w:szCs w:val="28"/>
        </w:rPr>
        <w:t xml:space="preserve"> году стали приниматься </w:t>
      </w:r>
      <w:r w:rsidR="00323414">
        <w:rPr>
          <w:sz w:val="28"/>
          <w:szCs w:val="28"/>
        </w:rPr>
        <w:t>реже на 26</w:t>
      </w:r>
      <w:r w:rsidRPr="00DB5AE0">
        <w:rPr>
          <w:sz w:val="28"/>
          <w:szCs w:val="28"/>
        </w:rPr>
        <w:t xml:space="preserve">%, нежели </w:t>
      </w:r>
      <w:r>
        <w:rPr>
          <w:bCs/>
          <w:sz w:val="28"/>
          <w:szCs w:val="28"/>
        </w:rPr>
        <w:t xml:space="preserve">в 2019 </w:t>
      </w:r>
      <w:r>
        <w:rPr>
          <w:sz w:val="28"/>
          <w:szCs w:val="28"/>
        </w:rPr>
        <w:t>году</w:t>
      </w:r>
      <w:r w:rsidRPr="00DB5AE0">
        <w:rPr>
          <w:sz w:val="28"/>
          <w:szCs w:val="28"/>
        </w:rPr>
        <w:t>.</w:t>
      </w:r>
    </w:p>
    <w:p w:rsidR="00323414" w:rsidRPr="00323414" w:rsidRDefault="00323414" w:rsidP="00323414">
      <w:pPr>
        <w:pStyle w:val="NormalWeb"/>
        <w:spacing w:after="0"/>
        <w:ind w:right="6" w:firstLine="851"/>
        <w:jc w:val="both"/>
        <w:rPr>
          <w:sz w:val="28"/>
          <w:szCs w:val="28"/>
        </w:rPr>
      </w:pPr>
      <w:r w:rsidRPr="00323414">
        <w:rPr>
          <w:sz w:val="28"/>
          <w:szCs w:val="28"/>
        </w:rPr>
        <w:t>По факту одностороннего расторжения контрактов заказчики стали обращаться в Московское УФАС России реже, решения о включении сведений в РНП по фактам одностороннего расторжения Заказчиками контрактов I-III кварталах 2020</w:t>
      </w:r>
      <w:r>
        <w:rPr>
          <w:sz w:val="28"/>
          <w:szCs w:val="28"/>
        </w:rPr>
        <w:t xml:space="preserve"> </w:t>
      </w:r>
      <w:r w:rsidR="004138D6">
        <w:rPr>
          <w:sz w:val="28"/>
          <w:szCs w:val="28"/>
        </w:rPr>
        <w:t>года принимались в 74</w:t>
      </w:r>
      <w:r w:rsidRPr="00323414">
        <w:rPr>
          <w:sz w:val="28"/>
          <w:szCs w:val="28"/>
        </w:rPr>
        <w:t>% случаев от р</w:t>
      </w:r>
      <w:r w:rsidR="004138D6">
        <w:rPr>
          <w:sz w:val="28"/>
          <w:szCs w:val="28"/>
        </w:rPr>
        <w:t>ассматриваемых обращений (в 2019</w:t>
      </w:r>
      <w:r w:rsidRPr="00323414">
        <w:rPr>
          <w:sz w:val="28"/>
          <w:szCs w:val="28"/>
        </w:rPr>
        <w:t xml:space="preserve"> году – в 85% случаев).</w:t>
      </w:r>
    </w:p>
    <w:p w:rsidR="00247DC5" w:rsidRDefault="00323414" w:rsidP="00323414">
      <w:pPr>
        <w:pStyle w:val="NormalWeb"/>
        <w:spacing w:before="0" w:after="0"/>
        <w:ind w:right="6" w:firstLine="851"/>
        <w:jc w:val="both"/>
        <w:rPr>
          <w:sz w:val="28"/>
          <w:szCs w:val="28"/>
        </w:rPr>
      </w:pPr>
      <w:r w:rsidRPr="00323414">
        <w:rPr>
          <w:sz w:val="28"/>
          <w:szCs w:val="28"/>
        </w:rPr>
        <w:t>Снижение количества обращений о включении в реестр</w:t>
      </w:r>
      <w:r w:rsidR="00D72099">
        <w:rPr>
          <w:sz w:val="28"/>
          <w:szCs w:val="28"/>
        </w:rPr>
        <w:t xml:space="preserve"> также</w:t>
      </w:r>
      <w:r w:rsidRPr="00323414">
        <w:rPr>
          <w:sz w:val="28"/>
          <w:szCs w:val="28"/>
        </w:rPr>
        <w:t xml:space="preserve"> в первую очередь обусловлено введением в Москве режима повышенной готовности в связи с распространением </w:t>
      </w:r>
      <w:proofErr w:type="spellStart"/>
      <w:r w:rsidRPr="00323414">
        <w:rPr>
          <w:sz w:val="28"/>
          <w:szCs w:val="28"/>
        </w:rPr>
        <w:t>коронавирусной</w:t>
      </w:r>
      <w:proofErr w:type="spellEnd"/>
      <w:r w:rsidRPr="00323414">
        <w:rPr>
          <w:sz w:val="28"/>
          <w:szCs w:val="28"/>
        </w:rPr>
        <w:t xml:space="preserve"> инфекции.</w:t>
      </w:r>
    </w:p>
    <w:p w:rsidR="006E4C36" w:rsidRPr="000E4506" w:rsidRDefault="0089267C" w:rsidP="00DB5AE0">
      <w:pPr>
        <w:spacing w:after="0" w:line="240" w:lineRule="auto"/>
        <w:ind w:right="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8392" w:type="dxa"/>
        <w:jc w:val="center"/>
        <w:tblLayout w:type="fixed"/>
        <w:tblCellMar>
          <w:left w:w="10" w:type="dxa"/>
          <w:right w:w="10" w:type="dxa"/>
        </w:tblCellMar>
        <w:tblLook w:val="0000" w:firstRow="0" w:lastRow="0" w:firstColumn="0" w:lastColumn="0" w:noHBand="0" w:noVBand="0"/>
      </w:tblPr>
      <w:tblGrid>
        <w:gridCol w:w="3539"/>
        <w:gridCol w:w="2410"/>
        <w:gridCol w:w="2443"/>
      </w:tblGrid>
      <w:tr w:rsidR="005D7D38" w:rsidRPr="000E4506" w:rsidTr="002B0B02">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29"/>
              <w:jc w:val="center"/>
              <w:rPr>
                <w:rFonts w:ascii="Times New Roman" w:eastAsia="Times New Roman" w:hAnsi="Times New Roman" w:cs="Times New Roman"/>
                <w:b/>
                <w:bCs/>
                <w:sz w:val="24"/>
                <w:szCs w:val="24"/>
                <w:lang w:eastAsia="ru-RU"/>
              </w:rPr>
            </w:pPr>
            <w:r w:rsidRPr="00DB5AE0">
              <w:rPr>
                <w:rFonts w:ascii="Times New Roman" w:eastAsia="Times New Roman" w:hAnsi="Times New Roman" w:cs="Times New Roman"/>
                <w:b/>
                <w:bCs/>
                <w:sz w:val="24"/>
                <w:szCs w:val="24"/>
                <w:lang w:eastAsia="ru-RU"/>
              </w:rPr>
              <w:t>РНП – уклонение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spacing w:after="0" w:line="240" w:lineRule="auto"/>
              <w:jc w:val="center"/>
              <w:rPr>
                <w:rFonts w:ascii="Times New Roman" w:eastAsia="Times New Roman" w:hAnsi="Times New Roman" w:cs="Times New Roman"/>
                <w:b/>
                <w:bCs/>
                <w:color w:val="000000"/>
                <w:sz w:val="24"/>
                <w:szCs w:val="24"/>
                <w:lang w:eastAsia="ru-RU"/>
              </w:rPr>
            </w:pPr>
            <w:r w:rsidRPr="00DB5AE0">
              <w:rPr>
                <w:rFonts w:ascii="Times New Roman" w:eastAsia="Times New Roman" w:hAnsi="Times New Roman" w:cs="Times New Roman"/>
                <w:b/>
                <w:bCs/>
                <w:color w:val="000000"/>
                <w:sz w:val="24"/>
                <w:szCs w:val="24"/>
                <w:lang w:val="en-US" w:eastAsia="ru-RU"/>
              </w:rPr>
              <w:t xml:space="preserve">I-III </w:t>
            </w:r>
            <w:r w:rsidRPr="00DB5AE0">
              <w:rPr>
                <w:rFonts w:ascii="Times New Roman" w:eastAsia="Times New Roman" w:hAnsi="Times New Roman" w:cs="Times New Roman"/>
                <w:b/>
                <w:bCs/>
                <w:color w:val="000000"/>
                <w:sz w:val="24"/>
                <w:szCs w:val="24"/>
                <w:lang w:eastAsia="ru-RU"/>
              </w:rPr>
              <w:t xml:space="preserve">кв. </w:t>
            </w:r>
          </w:p>
          <w:p w:rsidR="005D7D38" w:rsidRPr="00DB5AE0" w:rsidRDefault="005D7D38" w:rsidP="005D7D38">
            <w:pPr>
              <w:pStyle w:val="Standard"/>
              <w:spacing w:after="0" w:line="240" w:lineRule="auto"/>
              <w:jc w:val="center"/>
              <w:rPr>
                <w:rFonts w:ascii="Times New Roman" w:eastAsia="Times New Roman" w:hAnsi="Times New Roman" w:cs="Times New Roman"/>
                <w:b/>
                <w:bCs/>
                <w:sz w:val="24"/>
                <w:szCs w:val="24"/>
                <w:lang w:eastAsia="ru-RU"/>
              </w:rPr>
            </w:pPr>
            <w:r w:rsidRPr="00DB5AE0">
              <w:rPr>
                <w:rFonts w:ascii="Times New Roman" w:eastAsia="Times New Roman" w:hAnsi="Times New Roman" w:cs="Times New Roman"/>
                <w:b/>
                <w:bCs/>
                <w:color w:val="000000"/>
                <w:sz w:val="24"/>
                <w:szCs w:val="24"/>
                <w:lang w:eastAsia="ru-RU"/>
              </w:rPr>
              <w:t>2019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5D7D38" w:rsidRPr="00DB5AE0" w:rsidRDefault="005D7D38" w:rsidP="005D7D38">
            <w:pPr>
              <w:spacing w:after="0" w:line="240" w:lineRule="auto"/>
              <w:jc w:val="center"/>
              <w:rPr>
                <w:rFonts w:ascii="Times New Roman" w:eastAsia="Times New Roman" w:hAnsi="Times New Roman" w:cs="Times New Roman"/>
                <w:b/>
                <w:bCs/>
                <w:color w:val="000000"/>
                <w:sz w:val="24"/>
                <w:szCs w:val="24"/>
                <w:lang w:eastAsia="ru-RU"/>
              </w:rPr>
            </w:pPr>
            <w:r w:rsidRPr="00DB5AE0">
              <w:rPr>
                <w:rFonts w:ascii="Times New Roman" w:eastAsia="Times New Roman" w:hAnsi="Times New Roman" w:cs="Times New Roman"/>
                <w:b/>
                <w:bCs/>
                <w:color w:val="000000"/>
                <w:sz w:val="24"/>
                <w:szCs w:val="24"/>
                <w:lang w:val="en-US" w:eastAsia="ru-RU"/>
              </w:rPr>
              <w:t xml:space="preserve">I-III </w:t>
            </w:r>
            <w:r w:rsidRPr="00DB5AE0">
              <w:rPr>
                <w:rFonts w:ascii="Times New Roman" w:eastAsia="Times New Roman" w:hAnsi="Times New Roman" w:cs="Times New Roman"/>
                <w:b/>
                <w:bCs/>
                <w:color w:val="000000"/>
                <w:sz w:val="24"/>
                <w:szCs w:val="24"/>
                <w:lang w:eastAsia="ru-RU"/>
              </w:rPr>
              <w:t xml:space="preserve">кв. </w:t>
            </w:r>
          </w:p>
          <w:p w:rsidR="005D7D38" w:rsidRPr="00DB5AE0" w:rsidRDefault="005D7D38" w:rsidP="005D7D38">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2020</w:t>
            </w:r>
            <w:r w:rsidRPr="00DB5AE0">
              <w:rPr>
                <w:rFonts w:ascii="Times New Roman" w:eastAsia="Times New Roman" w:hAnsi="Times New Roman" w:cs="Times New Roman"/>
                <w:b/>
                <w:bCs/>
                <w:color w:val="000000"/>
                <w:sz w:val="24"/>
                <w:szCs w:val="24"/>
                <w:lang w:eastAsia="ru-RU"/>
              </w:rPr>
              <w:t xml:space="preserve"> г.</w:t>
            </w:r>
          </w:p>
        </w:tc>
      </w:tr>
      <w:tr w:rsidR="005D7D38" w:rsidRPr="000E4506" w:rsidTr="002B0B02">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29"/>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D7D38" w:rsidRPr="00DB5AE0" w:rsidRDefault="005D7D38" w:rsidP="005D7D38">
            <w:pPr>
              <w:pStyle w:val="Standard"/>
              <w:spacing w:after="0" w:line="240" w:lineRule="auto"/>
              <w:ind w:firstLine="851"/>
              <w:jc w:val="both"/>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873</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5D7D38" w:rsidRPr="00DB5AE0" w:rsidRDefault="00323414" w:rsidP="005D7D38">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898</w:t>
            </w:r>
          </w:p>
        </w:tc>
      </w:tr>
      <w:tr w:rsidR="005D7D38" w:rsidRPr="000E4506" w:rsidTr="002B0B02">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29"/>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851"/>
              <w:jc w:val="both"/>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540</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5D7D38" w:rsidRPr="00DB5AE0" w:rsidRDefault="00323414" w:rsidP="005D7D38">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324</w:t>
            </w:r>
          </w:p>
        </w:tc>
      </w:tr>
      <w:tr w:rsidR="005D7D38" w:rsidRPr="000E4506" w:rsidTr="002B0B02">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29"/>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851"/>
              <w:jc w:val="both"/>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333</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7D38" w:rsidRPr="00DB5AE0" w:rsidRDefault="00323414" w:rsidP="005D7D38">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574</w:t>
            </w:r>
          </w:p>
        </w:tc>
      </w:tr>
      <w:tr w:rsidR="006E4C36" w:rsidRPr="000E4506" w:rsidTr="002B0B02">
        <w:trPr>
          <w:trHeight w:val="435"/>
          <w:jc w:val="center"/>
        </w:trPr>
        <w:tc>
          <w:tcPr>
            <w:tcW w:w="3539"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DB5AE0" w:rsidRDefault="00DB5AE0" w:rsidP="00DB5AE0">
            <w:pPr>
              <w:pStyle w:val="Standard"/>
              <w:spacing w:after="0" w:line="240" w:lineRule="auto"/>
              <w:ind w:firstLine="851"/>
              <w:jc w:val="both"/>
              <w:rPr>
                <w:rFonts w:ascii="Times New Roman" w:eastAsia="Times New Roman" w:hAnsi="Times New Roman" w:cs="Times New Roman"/>
                <w:bCs/>
                <w:sz w:val="28"/>
                <w:szCs w:val="28"/>
                <w:lang w:eastAsia="ru-RU"/>
              </w:rPr>
            </w:pPr>
          </w:p>
          <w:p w:rsidR="00FD7579" w:rsidRDefault="00FD7579" w:rsidP="00DB5AE0">
            <w:pPr>
              <w:pStyle w:val="Standard"/>
              <w:spacing w:after="0" w:line="240" w:lineRule="auto"/>
              <w:ind w:firstLine="851"/>
              <w:jc w:val="both"/>
              <w:rPr>
                <w:rFonts w:ascii="Times New Roman" w:eastAsia="Times New Roman" w:hAnsi="Times New Roman" w:cs="Times New Roman"/>
                <w:bCs/>
                <w:sz w:val="28"/>
                <w:szCs w:val="28"/>
                <w:lang w:eastAsia="ru-RU"/>
              </w:rPr>
            </w:pPr>
          </w:p>
          <w:p w:rsidR="00FD7579" w:rsidRDefault="00FD7579" w:rsidP="00DB5AE0">
            <w:pPr>
              <w:pStyle w:val="Standard"/>
              <w:spacing w:after="0" w:line="240" w:lineRule="auto"/>
              <w:ind w:firstLine="851"/>
              <w:jc w:val="both"/>
              <w:rPr>
                <w:rFonts w:ascii="Times New Roman" w:eastAsia="Times New Roman" w:hAnsi="Times New Roman" w:cs="Times New Roman"/>
                <w:bCs/>
                <w:sz w:val="28"/>
                <w:szCs w:val="28"/>
                <w:lang w:eastAsia="ru-RU"/>
              </w:rPr>
            </w:pPr>
          </w:p>
          <w:p w:rsidR="00FD7579" w:rsidRDefault="00FD7579" w:rsidP="00DB5AE0">
            <w:pPr>
              <w:pStyle w:val="Standard"/>
              <w:spacing w:after="0" w:line="240" w:lineRule="auto"/>
              <w:ind w:firstLine="851"/>
              <w:jc w:val="both"/>
              <w:rPr>
                <w:rFonts w:ascii="Times New Roman" w:eastAsia="Times New Roman" w:hAnsi="Times New Roman" w:cs="Times New Roman"/>
                <w:bCs/>
                <w:sz w:val="28"/>
                <w:szCs w:val="28"/>
                <w:lang w:eastAsia="ru-RU"/>
              </w:rPr>
            </w:pPr>
          </w:p>
          <w:p w:rsidR="00FD7579" w:rsidRDefault="00FD7579" w:rsidP="00DB5AE0">
            <w:pPr>
              <w:pStyle w:val="Standard"/>
              <w:spacing w:after="0" w:line="240" w:lineRule="auto"/>
              <w:ind w:firstLine="851"/>
              <w:jc w:val="both"/>
              <w:rPr>
                <w:rFonts w:ascii="Times New Roman" w:eastAsia="Times New Roman" w:hAnsi="Times New Roman" w:cs="Times New Roman"/>
                <w:bCs/>
                <w:sz w:val="28"/>
                <w:szCs w:val="28"/>
                <w:lang w:eastAsia="ru-RU"/>
              </w:rPr>
            </w:pPr>
          </w:p>
          <w:p w:rsidR="00FD7579" w:rsidRPr="000E4506" w:rsidRDefault="00FD7579" w:rsidP="00DB5AE0">
            <w:pPr>
              <w:pStyle w:val="Standard"/>
              <w:spacing w:after="0" w:line="240" w:lineRule="auto"/>
              <w:ind w:firstLine="851"/>
              <w:jc w:val="both"/>
              <w:rPr>
                <w:rFonts w:ascii="Times New Roman" w:eastAsia="Times New Roman" w:hAnsi="Times New Roman" w:cs="Times New Roman"/>
                <w:bCs/>
                <w:sz w:val="28"/>
                <w:szCs w:val="28"/>
                <w:lang w:eastAsia="ru-RU"/>
              </w:rPr>
            </w:pPr>
          </w:p>
        </w:tc>
        <w:tc>
          <w:tcPr>
            <w:tcW w:w="2410"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6E4C36" w:rsidRPr="000E4506" w:rsidRDefault="006E4C36" w:rsidP="00DB5AE0">
            <w:pPr>
              <w:pStyle w:val="Standard"/>
              <w:spacing w:after="0" w:line="240" w:lineRule="auto"/>
              <w:ind w:firstLine="851"/>
              <w:jc w:val="both"/>
              <w:rPr>
                <w:rFonts w:ascii="Times New Roman" w:eastAsia="Times New Roman" w:hAnsi="Times New Roman" w:cs="Times New Roman"/>
                <w:sz w:val="28"/>
                <w:szCs w:val="28"/>
                <w:lang w:eastAsia="ru-RU"/>
              </w:rPr>
            </w:pPr>
          </w:p>
        </w:tc>
        <w:tc>
          <w:tcPr>
            <w:tcW w:w="2443"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6E4C36" w:rsidRPr="000E4506" w:rsidRDefault="006E4C36" w:rsidP="00DB5AE0">
            <w:pPr>
              <w:pStyle w:val="Standard"/>
              <w:spacing w:after="0" w:line="240" w:lineRule="auto"/>
              <w:ind w:firstLine="851"/>
              <w:jc w:val="both"/>
              <w:rPr>
                <w:rFonts w:ascii="Times New Roman" w:eastAsia="Times New Roman" w:hAnsi="Times New Roman" w:cs="Times New Roman"/>
                <w:sz w:val="28"/>
                <w:szCs w:val="28"/>
                <w:lang w:eastAsia="ru-RU"/>
              </w:rPr>
            </w:pPr>
          </w:p>
        </w:tc>
      </w:tr>
      <w:tr w:rsidR="005D7D38" w:rsidRPr="000E4506" w:rsidTr="002B0B02">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jc w:val="center"/>
              <w:rPr>
                <w:rFonts w:ascii="Times New Roman" w:eastAsia="Times New Roman" w:hAnsi="Times New Roman" w:cs="Times New Roman"/>
                <w:b/>
                <w:bCs/>
                <w:sz w:val="24"/>
                <w:szCs w:val="24"/>
                <w:lang w:eastAsia="ru-RU"/>
              </w:rPr>
            </w:pPr>
            <w:r w:rsidRPr="00DB5AE0">
              <w:rPr>
                <w:rFonts w:ascii="Times New Roman" w:eastAsia="Times New Roman" w:hAnsi="Times New Roman" w:cs="Times New Roman"/>
                <w:b/>
                <w:bCs/>
                <w:sz w:val="24"/>
                <w:szCs w:val="24"/>
                <w:lang w:eastAsia="ru-RU"/>
              </w:rPr>
              <w:lastRenderedPageBreak/>
              <w:t>РНП – расторжение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spacing w:after="0" w:line="240" w:lineRule="auto"/>
              <w:jc w:val="center"/>
              <w:rPr>
                <w:rFonts w:ascii="Times New Roman" w:eastAsia="Times New Roman" w:hAnsi="Times New Roman" w:cs="Times New Roman"/>
                <w:b/>
                <w:bCs/>
                <w:color w:val="000000"/>
                <w:sz w:val="24"/>
                <w:szCs w:val="24"/>
                <w:lang w:eastAsia="ru-RU"/>
              </w:rPr>
            </w:pPr>
            <w:r w:rsidRPr="00DB5AE0">
              <w:rPr>
                <w:rFonts w:ascii="Times New Roman" w:eastAsia="Times New Roman" w:hAnsi="Times New Roman" w:cs="Times New Roman"/>
                <w:b/>
                <w:bCs/>
                <w:color w:val="000000"/>
                <w:sz w:val="24"/>
                <w:szCs w:val="24"/>
                <w:lang w:val="en-US" w:eastAsia="ru-RU"/>
              </w:rPr>
              <w:t xml:space="preserve">I-III </w:t>
            </w:r>
            <w:r w:rsidRPr="00DB5AE0">
              <w:rPr>
                <w:rFonts w:ascii="Times New Roman" w:eastAsia="Times New Roman" w:hAnsi="Times New Roman" w:cs="Times New Roman"/>
                <w:b/>
                <w:bCs/>
                <w:color w:val="000000"/>
                <w:sz w:val="24"/>
                <w:szCs w:val="24"/>
                <w:lang w:eastAsia="ru-RU"/>
              </w:rPr>
              <w:t xml:space="preserve">кв. </w:t>
            </w:r>
          </w:p>
          <w:p w:rsidR="005D7D38" w:rsidRPr="00DB5AE0" w:rsidRDefault="005D7D38" w:rsidP="005D7D38">
            <w:pPr>
              <w:pStyle w:val="Standard"/>
              <w:spacing w:after="0" w:line="240" w:lineRule="auto"/>
              <w:jc w:val="center"/>
              <w:rPr>
                <w:rFonts w:ascii="Times New Roman" w:eastAsia="Times New Roman" w:hAnsi="Times New Roman" w:cs="Times New Roman"/>
                <w:b/>
                <w:bCs/>
                <w:sz w:val="24"/>
                <w:szCs w:val="24"/>
                <w:lang w:eastAsia="ru-RU"/>
              </w:rPr>
            </w:pPr>
            <w:r w:rsidRPr="00DB5AE0">
              <w:rPr>
                <w:rFonts w:ascii="Times New Roman" w:eastAsia="Times New Roman" w:hAnsi="Times New Roman" w:cs="Times New Roman"/>
                <w:b/>
                <w:bCs/>
                <w:color w:val="000000"/>
                <w:sz w:val="24"/>
                <w:szCs w:val="24"/>
                <w:lang w:eastAsia="ru-RU"/>
              </w:rPr>
              <w:t>2019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5D7D38" w:rsidRPr="00DB5AE0" w:rsidRDefault="005D7D38" w:rsidP="005D7D38">
            <w:pPr>
              <w:spacing w:after="0" w:line="240" w:lineRule="auto"/>
              <w:jc w:val="center"/>
              <w:rPr>
                <w:rFonts w:ascii="Times New Roman" w:eastAsia="Times New Roman" w:hAnsi="Times New Roman" w:cs="Times New Roman"/>
                <w:b/>
                <w:bCs/>
                <w:color w:val="000000"/>
                <w:sz w:val="24"/>
                <w:szCs w:val="24"/>
                <w:lang w:eastAsia="ru-RU"/>
              </w:rPr>
            </w:pPr>
            <w:r w:rsidRPr="00DB5AE0">
              <w:rPr>
                <w:rFonts w:ascii="Times New Roman" w:eastAsia="Times New Roman" w:hAnsi="Times New Roman" w:cs="Times New Roman"/>
                <w:b/>
                <w:bCs/>
                <w:color w:val="000000"/>
                <w:sz w:val="24"/>
                <w:szCs w:val="24"/>
                <w:lang w:val="en-US" w:eastAsia="ru-RU"/>
              </w:rPr>
              <w:t xml:space="preserve">I-III </w:t>
            </w:r>
            <w:r w:rsidRPr="00DB5AE0">
              <w:rPr>
                <w:rFonts w:ascii="Times New Roman" w:eastAsia="Times New Roman" w:hAnsi="Times New Roman" w:cs="Times New Roman"/>
                <w:b/>
                <w:bCs/>
                <w:color w:val="000000"/>
                <w:sz w:val="24"/>
                <w:szCs w:val="24"/>
                <w:lang w:eastAsia="ru-RU"/>
              </w:rPr>
              <w:t xml:space="preserve">кв. </w:t>
            </w:r>
          </w:p>
          <w:p w:rsidR="005D7D38" w:rsidRPr="00DB5AE0" w:rsidRDefault="00C253EA" w:rsidP="005D7D38">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2020</w:t>
            </w:r>
            <w:r w:rsidR="005D7D38" w:rsidRPr="00DB5AE0">
              <w:rPr>
                <w:rFonts w:ascii="Times New Roman" w:eastAsia="Times New Roman" w:hAnsi="Times New Roman" w:cs="Times New Roman"/>
                <w:b/>
                <w:bCs/>
                <w:color w:val="000000"/>
                <w:sz w:val="24"/>
                <w:szCs w:val="24"/>
                <w:lang w:eastAsia="ru-RU"/>
              </w:rPr>
              <w:t xml:space="preserve"> г.</w:t>
            </w:r>
          </w:p>
        </w:tc>
      </w:tr>
      <w:tr w:rsidR="005D7D38" w:rsidRPr="000E4506" w:rsidTr="002B0B02">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rsidR="005D7D38" w:rsidRPr="00DB5AE0" w:rsidRDefault="005D7D38" w:rsidP="005D7D38">
            <w:pPr>
              <w:pStyle w:val="Standard"/>
              <w:spacing w:after="0" w:line="240" w:lineRule="auto"/>
              <w:ind w:firstLine="851"/>
              <w:jc w:val="both"/>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2929</w:t>
            </w:r>
          </w:p>
        </w:tc>
        <w:tc>
          <w:tcPr>
            <w:tcW w:w="2443"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vAlign w:val="center"/>
          </w:tcPr>
          <w:p w:rsidR="005D7D38" w:rsidRPr="00DB5AE0" w:rsidRDefault="005D7D38" w:rsidP="00323414">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323414">
              <w:rPr>
                <w:rFonts w:ascii="Times New Roman" w:eastAsia="Times New Roman" w:hAnsi="Times New Roman" w:cs="Times New Roman"/>
                <w:bCs/>
                <w:sz w:val="24"/>
                <w:szCs w:val="24"/>
                <w:lang w:eastAsia="ru-RU"/>
              </w:rPr>
              <w:t>997</w:t>
            </w:r>
          </w:p>
        </w:tc>
      </w:tr>
      <w:tr w:rsidR="005D7D38" w:rsidRPr="000E4506" w:rsidTr="002B0B02">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851"/>
              <w:jc w:val="both"/>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2495</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5D7D38" w:rsidRPr="00DB5AE0" w:rsidRDefault="00323414" w:rsidP="005D7D38">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1472</w:t>
            </w:r>
          </w:p>
        </w:tc>
      </w:tr>
      <w:tr w:rsidR="005D7D38" w:rsidRPr="000E4506" w:rsidTr="002B0B02">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jc w:val="center"/>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5D7D38" w:rsidRPr="00DB5AE0" w:rsidRDefault="005D7D38" w:rsidP="005D7D38">
            <w:pPr>
              <w:pStyle w:val="Standard"/>
              <w:spacing w:after="0" w:line="240" w:lineRule="auto"/>
              <w:ind w:firstLine="851"/>
              <w:jc w:val="both"/>
              <w:rPr>
                <w:rFonts w:ascii="Times New Roman" w:eastAsia="Times New Roman" w:hAnsi="Times New Roman" w:cs="Times New Roman"/>
                <w:bCs/>
                <w:sz w:val="24"/>
                <w:szCs w:val="24"/>
                <w:lang w:eastAsia="ru-RU"/>
              </w:rPr>
            </w:pPr>
            <w:r w:rsidRPr="00DB5AE0">
              <w:rPr>
                <w:rFonts w:ascii="Times New Roman" w:eastAsia="Times New Roman" w:hAnsi="Times New Roman" w:cs="Times New Roman"/>
                <w:bCs/>
                <w:sz w:val="24"/>
                <w:szCs w:val="24"/>
                <w:lang w:eastAsia="ru-RU"/>
              </w:rPr>
              <w:t>434</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7D38" w:rsidRPr="00DB5AE0" w:rsidRDefault="00323414" w:rsidP="00323414">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w:t>
            </w:r>
          </w:p>
        </w:tc>
      </w:tr>
    </w:tbl>
    <w:p w:rsidR="006E4C36" w:rsidRPr="000E4506" w:rsidRDefault="006E4C36" w:rsidP="00DB5AE0">
      <w:pPr>
        <w:spacing w:after="0" w:line="240" w:lineRule="auto"/>
        <w:ind w:right="6" w:firstLine="851"/>
        <w:jc w:val="both"/>
        <w:rPr>
          <w:rFonts w:ascii="Times New Roman" w:eastAsia="Times New Roman" w:hAnsi="Times New Roman" w:cs="Times New Roman"/>
          <w:sz w:val="28"/>
          <w:szCs w:val="28"/>
          <w:lang w:eastAsia="ru-RU"/>
        </w:rPr>
      </w:pPr>
    </w:p>
    <w:p w:rsidR="006E4C36" w:rsidRPr="000E4506" w:rsidRDefault="006E4C36" w:rsidP="00DB5AE0">
      <w:pPr>
        <w:spacing w:after="0" w:line="24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 xml:space="preserve">Примеры обстоятельств, послуживших основанием для принятия комиссией Московского УФАС России решения о </w:t>
      </w:r>
      <w:proofErr w:type="spellStart"/>
      <w:r w:rsidRPr="000E4506">
        <w:rPr>
          <w:rFonts w:ascii="Times New Roman" w:eastAsia="Times New Roman" w:hAnsi="Times New Roman" w:cs="Times New Roman"/>
          <w:iCs/>
          <w:sz w:val="28"/>
          <w:szCs w:val="28"/>
          <w:lang w:eastAsia="ru-RU"/>
        </w:rPr>
        <w:t>невключении</w:t>
      </w:r>
      <w:proofErr w:type="spellEnd"/>
      <w:r w:rsidRPr="000E4506">
        <w:rPr>
          <w:rFonts w:ascii="Times New Roman" w:eastAsia="Times New Roman" w:hAnsi="Times New Roman" w:cs="Times New Roman"/>
          <w:iCs/>
          <w:sz w:val="28"/>
          <w:szCs w:val="28"/>
          <w:lang w:eastAsia="ru-RU"/>
        </w:rPr>
        <w:t xml:space="preserve">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6E4C36" w:rsidRPr="000E4506" w:rsidRDefault="006E4C36" w:rsidP="00DB5AE0">
      <w:pPr>
        <w:spacing w:after="0" w:line="24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 В решении об одностороннем отказе от исполнения контракта не было указано причин, послуживших основанием для принятия такого решения заказчиком (или указанные в таком решении причины не соответствовали фактическим обстоятельствам);</w:t>
      </w:r>
    </w:p>
    <w:p w:rsidR="006E4C36" w:rsidRPr="000E4506" w:rsidRDefault="006E4C36" w:rsidP="00DB5AE0">
      <w:pPr>
        <w:spacing w:after="0" w:line="24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 Принятие заказчиком решения об одностороннем отказе от исполнения контракта при том, что все работы по контракту фактически были выполнены;</w:t>
      </w:r>
    </w:p>
    <w:p w:rsidR="006E4C36" w:rsidRPr="000E4506" w:rsidRDefault="006E4C36" w:rsidP="00DB5AE0">
      <w:pPr>
        <w:spacing w:after="0" w:line="240" w:lineRule="auto"/>
        <w:ind w:right="6"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0E4506">
        <w:rPr>
          <w:rFonts w:ascii="Times New Roman" w:eastAsia="Times New Roman" w:hAnsi="Times New Roman" w:cs="Times New Roman"/>
          <w:iCs/>
          <w:sz w:val="28"/>
          <w:szCs w:val="28"/>
          <w:lang w:eastAsia="ru-RU"/>
        </w:rPr>
        <w:t>Заказчик не предоставил поставщику (подрядчику, исполнителю) предусмотренный Законом о контрактной системе десятидневный срок для устранения поставщиком (подрядчиком, исполнителем) нарушений, послуживших причиной принятия заказчиком решения об одностороннем отказе от исполнения контракта (заказчик сообщил, что ограничил доступ на объект сразу после принятия решения);</w:t>
      </w:r>
    </w:p>
    <w:p w:rsidR="006E4C36" w:rsidRPr="000E4506" w:rsidRDefault="006E4C36" w:rsidP="00DB5AE0">
      <w:pPr>
        <w:spacing w:after="0" w:line="240" w:lineRule="auto"/>
        <w:ind w:right="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0E4506">
        <w:rPr>
          <w:rFonts w:ascii="Times New Roman" w:eastAsia="Times New Roman" w:hAnsi="Times New Roman" w:cs="Times New Roman"/>
          <w:iCs/>
          <w:sz w:val="28"/>
          <w:szCs w:val="28"/>
          <w:lang w:eastAsia="ru-RU"/>
        </w:rPr>
        <w:t>Заказчик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 вызвано действиями третьих лиц;</w:t>
      </w:r>
    </w:p>
    <w:p w:rsidR="006E4C36" w:rsidRPr="000E4506" w:rsidRDefault="006E4C36" w:rsidP="00DB5AE0">
      <w:pPr>
        <w:spacing w:after="0" w:line="24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стороне; фиксировать нарушения, которые может допустить сторона по контракту, с привлечением третьих лиц.</w:t>
      </w:r>
    </w:p>
    <w:p w:rsidR="006E4C36" w:rsidRPr="000E4506" w:rsidRDefault="006E4C36" w:rsidP="00DB5AE0">
      <w:pPr>
        <w:spacing w:after="0" w:line="24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6E4C36" w:rsidRPr="000E4506" w:rsidRDefault="006E4C36" w:rsidP="00DB5AE0">
      <w:pPr>
        <w:spacing w:after="0" w:line="24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w:t>
      </w:r>
    </w:p>
    <w:p w:rsidR="006E4C36" w:rsidRDefault="006E4C36" w:rsidP="00DB5AE0">
      <w:pPr>
        <w:spacing w:after="0" w:line="24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lastRenderedPageBreak/>
        <w:t>Указанные обстоятельства являются важными составляющими для принятия Московским УФАС России объективного решения о включении/</w:t>
      </w:r>
      <w:proofErr w:type="spellStart"/>
      <w:r w:rsidRPr="000E4506">
        <w:rPr>
          <w:rFonts w:ascii="Times New Roman" w:eastAsia="Times New Roman" w:hAnsi="Times New Roman" w:cs="Times New Roman"/>
          <w:sz w:val="28"/>
          <w:szCs w:val="28"/>
          <w:lang w:eastAsia="ru-RU"/>
        </w:rPr>
        <w:t>невключении</w:t>
      </w:r>
      <w:proofErr w:type="spellEnd"/>
      <w:r w:rsidRPr="000E4506">
        <w:rPr>
          <w:rFonts w:ascii="Times New Roman" w:eastAsia="Times New Roman" w:hAnsi="Times New Roman" w:cs="Times New Roman"/>
          <w:sz w:val="28"/>
          <w:szCs w:val="28"/>
          <w:lang w:eastAsia="ru-RU"/>
        </w:rPr>
        <w:t xml:space="preserve"> подрядчика в РНП.</w:t>
      </w:r>
    </w:p>
    <w:p w:rsidR="00963174" w:rsidRDefault="00963174" w:rsidP="00CF76BF">
      <w:pPr>
        <w:spacing w:after="0" w:line="240" w:lineRule="auto"/>
        <w:ind w:right="6" w:firstLine="851"/>
        <w:jc w:val="center"/>
        <w:rPr>
          <w:rFonts w:ascii="Times New Roman" w:eastAsia="Times New Roman" w:hAnsi="Times New Roman" w:cs="Times New Roman"/>
          <w:b/>
          <w:bCs/>
          <w:sz w:val="32"/>
          <w:szCs w:val="32"/>
          <w:lang w:eastAsia="ru-RU"/>
        </w:rPr>
      </w:pPr>
    </w:p>
    <w:p w:rsidR="00D72099" w:rsidRPr="00CF76BF" w:rsidRDefault="00D72099" w:rsidP="00D72099">
      <w:pPr>
        <w:spacing w:after="0" w:line="240" w:lineRule="auto"/>
        <w:ind w:right="6"/>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Проверки</w:t>
      </w:r>
    </w:p>
    <w:p w:rsidR="006E4C36" w:rsidRDefault="006E4C36" w:rsidP="00DB5AE0">
      <w:pPr>
        <w:spacing w:after="0" w:line="240" w:lineRule="auto"/>
        <w:ind w:firstLine="851"/>
        <w:jc w:val="both"/>
        <w:rPr>
          <w:rFonts w:ascii="Times New Roman" w:eastAsia="Times New Roman" w:hAnsi="Times New Roman" w:cs="Times New Roman"/>
          <w:sz w:val="28"/>
          <w:szCs w:val="28"/>
          <w:lang w:eastAsia="ru-RU"/>
        </w:rPr>
      </w:pPr>
      <w:r w:rsidRPr="000E4506">
        <w:rPr>
          <w:rFonts w:ascii="Times New Roman" w:eastAsia="Times New Roman" w:hAnsi="Times New Roman" w:cs="Times New Roman"/>
          <w:sz w:val="28"/>
          <w:szCs w:val="28"/>
          <w:lang w:eastAsia="ru-RU"/>
        </w:rPr>
        <w:t xml:space="preserve">Московское УФАС России реализует возложенные на него полномочия по контролю за соблюдением законодательства о закупках товаров, работ, услуг, в том числе, путем проведения плановых и внеплановых проверок. </w:t>
      </w:r>
    </w:p>
    <w:p w:rsidR="004152FD" w:rsidRDefault="004152FD" w:rsidP="00DB5AE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отличие от снижения количества жалоб в Московском УФАС России прослеживается тенденция увеличения количества проводимых внеплановых проверок.</w:t>
      </w:r>
    </w:p>
    <w:p w:rsidR="004152FD" w:rsidRDefault="004152FD" w:rsidP="00DB5AE0">
      <w:pPr>
        <w:spacing w:after="0" w:line="240" w:lineRule="auto"/>
        <w:ind w:firstLine="851"/>
        <w:jc w:val="both"/>
        <w:rPr>
          <w:rFonts w:ascii="Times New Roman" w:eastAsia="Times New Roman" w:hAnsi="Times New Roman" w:cs="Times New Roman"/>
          <w:sz w:val="28"/>
          <w:szCs w:val="28"/>
          <w:lang w:eastAsia="ru-RU"/>
        </w:rPr>
      </w:pPr>
      <w:r w:rsidRPr="00402359">
        <w:rPr>
          <w:rFonts w:ascii="Times New Roman" w:eastAsia="Times New Roman" w:hAnsi="Times New Roman" w:cs="Times New Roman"/>
          <w:sz w:val="28"/>
          <w:szCs w:val="28"/>
          <w:lang w:eastAsia="ru-RU"/>
        </w:rPr>
        <w:t>Так, в</w:t>
      </w:r>
      <w:r w:rsidR="00641109" w:rsidRPr="00402359">
        <w:rPr>
          <w:rFonts w:ascii="Times New Roman" w:eastAsia="Times New Roman" w:hAnsi="Times New Roman" w:cs="Times New Roman"/>
          <w:sz w:val="28"/>
          <w:szCs w:val="28"/>
          <w:lang w:eastAsia="ru-RU"/>
        </w:rPr>
        <w:t xml:space="preserve"> </w:t>
      </w:r>
      <w:r w:rsidR="004138D6" w:rsidRPr="00402359">
        <w:rPr>
          <w:rFonts w:ascii="Times New Roman" w:hAnsi="Times New Roman" w:cs="Times New Roman"/>
          <w:bCs/>
          <w:sz w:val="28"/>
          <w:szCs w:val="28"/>
          <w:lang w:val="en-US"/>
        </w:rPr>
        <w:t>I</w:t>
      </w:r>
      <w:r w:rsidR="004138D6" w:rsidRPr="00402359">
        <w:rPr>
          <w:rFonts w:ascii="Times New Roman" w:hAnsi="Times New Roman" w:cs="Times New Roman"/>
          <w:bCs/>
          <w:sz w:val="28"/>
          <w:szCs w:val="28"/>
        </w:rPr>
        <w:t>-</w:t>
      </w:r>
      <w:r w:rsidR="004138D6" w:rsidRPr="00402359">
        <w:rPr>
          <w:rFonts w:ascii="Times New Roman" w:hAnsi="Times New Roman" w:cs="Times New Roman"/>
          <w:bCs/>
          <w:sz w:val="28"/>
          <w:szCs w:val="28"/>
          <w:lang w:val="en-US"/>
        </w:rPr>
        <w:t>III</w:t>
      </w:r>
      <w:r w:rsidR="004138D6" w:rsidRPr="00402359">
        <w:rPr>
          <w:rFonts w:ascii="Times New Roman" w:hAnsi="Times New Roman" w:cs="Times New Roman"/>
          <w:bCs/>
          <w:sz w:val="28"/>
          <w:szCs w:val="28"/>
        </w:rPr>
        <w:t xml:space="preserve"> кварталах</w:t>
      </w:r>
      <w:r w:rsidR="004138D6" w:rsidRPr="00402359">
        <w:rPr>
          <w:rFonts w:ascii="Times New Roman" w:hAnsi="Times New Roman" w:cs="Times New Roman"/>
          <w:sz w:val="28"/>
          <w:szCs w:val="28"/>
        </w:rPr>
        <w:t xml:space="preserve"> 2020</w:t>
      </w:r>
      <w:r w:rsidR="00402359" w:rsidRPr="00402359">
        <w:rPr>
          <w:rFonts w:ascii="Times New Roman" w:hAnsi="Times New Roman" w:cs="Times New Roman"/>
          <w:sz w:val="28"/>
          <w:szCs w:val="28"/>
        </w:rPr>
        <w:t xml:space="preserve"> года</w:t>
      </w:r>
      <w:r w:rsidR="004138D6" w:rsidRPr="00402359">
        <w:rPr>
          <w:rFonts w:ascii="Times New Roman" w:hAnsi="Times New Roman" w:cs="Times New Roman"/>
          <w:sz w:val="28"/>
          <w:szCs w:val="28"/>
        </w:rPr>
        <w:t xml:space="preserve"> </w:t>
      </w:r>
      <w:r w:rsidR="00641109" w:rsidRPr="00402359">
        <w:rPr>
          <w:rFonts w:ascii="Times New Roman" w:eastAsia="Times New Roman" w:hAnsi="Times New Roman" w:cs="Times New Roman"/>
          <w:sz w:val="28"/>
          <w:szCs w:val="28"/>
          <w:lang w:eastAsia="ru-RU"/>
        </w:rPr>
        <w:t xml:space="preserve">Московским УФАС России проведено </w:t>
      </w:r>
      <w:r w:rsidR="004138D6" w:rsidRPr="00402359">
        <w:rPr>
          <w:rFonts w:ascii="Times New Roman" w:eastAsia="Times New Roman" w:hAnsi="Times New Roman" w:cs="Times New Roman"/>
          <w:sz w:val="28"/>
          <w:szCs w:val="28"/>
          <w:lang w:eastAsia="ru-RU"/>
        </w:rPr>
        <w:t>522</w:t>
      </w:r>
      <w:r w:rsidR="002D46E1" w:rsidRPr="00402359">
        <w:rPr>
          <w:rFonts w:ascii="Times New Roman" w:eastAsia="Times New Roman" w:hAnsi="Times New Roman" w:cs="Times New Roman"/>
          <w:sz w:val="28"/>
          <w:szCs w:val="28"/>
          <w:lang w:eastAsia="ru-RU"/>
        </w:rPr>
        <w:t xml:space="preserve"> </w:t>
      </w:r>
      <w:r w:rsidR="00641109" w:rsidRPr="00402359">
        <w:rPr>
          <w:rFonts w:ascii="Times New Roman" w:eastAsia="Times New Roman" w:hAnsi="Times New Roman" w:cs="Times New Roman"/>
          <w:sz w:val="28"/>
          <w:szCs w:val="28"/>
          <w:lang w:eastAsia="ru-RU"/>
        </w:rPr>
        <w:t>контрольных мероприятий, что</w:t>
      </w:r>
      <w:r>
        <w:rPr>
          <w:rFonts w:ascii="Times New Roman" w:eastAsia="Times New Roman" w:hAnsi="Times New Roman" w:cs="Times New Roman"/>
          <w:sz w:val="28"/>
          <w:szCs w:val="28"/>
          <w:lang w:eastAsia="ru-RU"/>
        </w:rPr>
        <w:t xml:space="preserve"> </w:t>
      </w:r>
      <w:r w:rsidR="004138D6">
        <w:rPr>
          <w:rFonts w:ascii="Times New Roman" w:eastAsia="Times New Roman" w:hAnsi="Times New Roman" w:cs="Times New Roman"/>
          <w:sz w:val="28"/>
          <w:szCs w:val="28"/>
          <w:lang w:eastAsia="ru-RU"/>
        </w:rPr>
        <w:t xml:space="preserve">на </w:t>
      </w:r>
      <w:r w:rsidR="00AD2390">
        <w:rPr>
          <w:rFonts w:ascii="Times New Roman" w:eastAsia="Times New Roman" w:hAnsi="Times New Roman" w:cs="Times New Roman"/>
          <w:sz w:val="28"/>
          <w:szCs w:val="28"/>
          <w:lang w:eastAsia="ru-RU"/>
        </w:rPr>
        <w:t>9</w:t>
      </w:r>
      <w:r w:rsidR="004213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больше прове</w:t>
      </w:r>
      <w:r w:rsidR="004138D6">
        <w:rPr>
          <w:rFonts w:ascii="Times New Roman" w:eastAsia="Times New Roman" w:hAnsi="Times New Roman" w:cs="Times New Roman"/>
          <w:sz w:val="28"/>
          <w:szCs w:val="28"/>
          <w:lang w:eastAsia="ru-RU"/>
        </w:rPr>
        <w:t>денных проверок в 2019 году (478</w:t>
      </w:r>
      <w:r>
        <w:rPr>
          <w:rFonts w:ascii="Times New Roman" w:eastAsia="Times New Roman" w:hAnsi="Times New Roman" w:cs="Times New Roman"/>
          <w:sz w:val="28"/>
          <w:szCs w:val="28"/>
          <w:lang w:eastAsia="ru-RU"/>
        </w:rPr>
        <w:t xml:space="preserve">). При этом нарушения выявляются в </w:t>
      </w:r>
      <w:r w:rsidR="002D46E1">
        <w:rPr>
          <w:rFonts w:ascii="Times New Roman" w:eastAsia="Times New Roman" w:hAnsi="Times New Roman" w:cs="Times New Roman"/>
          <w:sz w:val="28"/>
          <w:szCs w:val="28"/>
          <w:lang w:eastAsia="ru-RU"/>
        </w:rPr>
        <w:t>79</w:t>
      </w:r>
      <w:r>
        <w:rPr>
          <w:rFonts w:ascii="Times New Roman" w:eastAsia="Times New Roman" w:hAnsi="Times New Roman" w:cs="Times New Roman"/>
          <w:sz w:val="28"/>
          <w:szCs w:val="28"/>
          <w:lang w:eastAsia="ru-RU"/>
        </w:rPr>
        <w:t>% проверяемых закупочных процедур.</w:t>
      </w:r>
    </w:p>
    <w:p w:rsidR="006E4C36" w:rsidRDefault="004152FD" w:rsidP="00737D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w:t>
      </w:r>
      <w:r w:rsidR="00737D23">
        <w:rPr>
          <w:rFonts w:ascii="Times New Roman" w:eastAsia="Times New Roman" w:hAnsi="Times New Roman" w:cs="Times New Roman"/>
          <w:sz w:val="28"/>
          <w:szCs w:val="28"/>
          <w:lang w:eastAsia="ru-RU"/>
        </w:rPr>
        <w:t xml:space="preserve">основные виды нарушений остаются неизменными. </w:t>
      </w:r>
      <w:r w:rsidR="006E4C36" w:rsidRPr="000E4506">
        <w:rPr>
          <w:rFonts w:ascii="Times New Roman" w:eastAsia="Times New Roman" w:hAnsi="Times New Roman" w:cs="Times New Roman"/>
          <w:sz w:val="28"/>
          <w:szCs w:val="28"/>
          <w:lang w:eastAsia="ru-RU"/>
        </w:rPr>
        <w:t>Наибольшее количество нарушений выявлено в части размещения информации в единой информа</w:t>
      </w:r>
      <w:r w:rsidR="00DB5AE0">
        <w:rPr>
          <w:rFonts w:ascii="Times New Roman" w:eastAsia="Times New Roman" w:hAnsi="Times New Roman" w:cs="Times New Roman"/>
          <w:sz w:val="28"/>
          <w:szCs w:val="28"/>
          <w:lang w:eastAsia="ru-RU"/>
        </w:rPr>
        <w:t>ционной системе в сфере закупок</w:t>
      </w:r>
      <w:r w:rsidR="00402359">
        <w:rPr>
          <w:rFonts w:ascii="Times New Roman" w:eastAsia="Times New Roman" w:hAnsi="Times New Roman" w:cs="Times New Roman"/>
          <w:sz w:val="28"/>
          <w:szCs w:val="28"/>
          <w:lang w:eastAsia="ru-RU"/>
        </w:rPr>
        <w:t xml:space="preserve"> (44</w:t>
      </w:r>
      <w:r w:rsidR="00737D23">
        <w:rPr>
          <w:rFonts w:ascii="Times New Roman" w:eastAsia="Times New Roman" w:hAnsi="Times New Roman" w:cs="Times New Roman"/>
          <w:sz w:val="28"/>
          <w:szCs w:val="28"/>
          <w:lang w:eastAsia="ru-RU"/>
        </w:rPr>
        <w:t>%)</w:t>
      </w:r>
      <w:r w:rsidR="00CC58D9">
        <w:rPr>
          <w:rFonts w:ascii="Times New Roman" w:eastAsia="Times New Roman" w:hAnsi="Times New Roman" w:cs="Times New Roman"/>
          <w:sz w:val="28"/>
          <w:szCs w:val="28"/>
          <w:lang w:eastAsia="ru-RU"/>
        </w:rPr>
        <w:t>,</w:t>
      </w:r>
      <w:r w:rsidR="00737D23">
        <w:rPr>
          <w:rFonts w:ascii="Times New Roman" w:eastAsia="Times New Roman" w:hAnsi="Times New Roman" w:cs="Times New Roman"/>
          <w:sz w:val="28"/>
          <w:szCs w:val="28"/>
          <w:lang w:eastAsia="ru-RU"/>
        </w:rPr>
        <w:t xml:space="preserve"> установления требований</w:t>
      </w:r>
      <w:r w:rsidR="00737D23" w:rsidRPr="000E4506">
        <w:rPr>
          <w:rFonts w:ascii="Times New Roman" w:eastAsia="Times New Roman" w:hAnsi="Times New Roman" w:cs="Times New Roman"/>
          <w:sz w:val="28"/>
          <w:szCs w:val="28"/>
          <w:lang w:eastAsia="ru-RU"/>
        </w:rPr>
        <w:t xml:space="preserve"> в документации о закупках, влекущие ограничение количества участников закупок</w:t>
      </w:r>
      <w:r w:rsidR="00402359">
        <w:rPr>
          <w:rFonts w:ascii="Times New Roman" w:eastAsia="Times New Roman" w:hAnsi="Times New Roman" w:cs="Times New Roman"/>
          <w:sz w:val="28"/>
          <w:szCs w:val="28"/>
          <w:lang w:eastAsia="ru-RU"/>
        </w:rPr>
        <w:t xml:space="preserve"> (32</w:t>
      </w:r>
      <w:r w:rsidR="00737D23">
        <w:rPr>
          <w:rFonts w:ascii="Times New Roman" w:eastAsia="Times New Roman" w:hAnsi="Times New Roman" w:cs="Times New Roman"/>
          <w:sz w:val="28"/>
          <w:szCs w:val="28"/>
          <w:lang w:eastAsia="ru-RU"/>
        </w:rPr>
        <w:t xml:space="preserve">%), </w:t>
      </w:r>
      <w:r w:rsidR="00DB5AE0">
        <w:rPr>
          <w:rFonts w:ascii="Times New Roman" w:eastAsia="Times New Roman" w:hAnsi="Times New Roman" w:cs="Times New Roman"/>
          <w:sz w:val="28"/>
          <w:szCs w:val="28"/>
          <w:lang w:eastAsia="ru-RU"/>
        </w:rPr>
        <w:t>порядка заключения государственных контрактов</w:t>
      </w:r>
      <w:r w:rsidR="0042132A">
        <w:rPr>
          <w:rFonts w:ascii="Times New Roman" w:eastAsia="Times New Roman" w:hAnsi="Times New Roman" w:cs="Times New Roman"/>
          <w:sz w:val="28"/>
          <w:szCs w:val="28"/>
          <w:lang w:eastAsia="ru-RU"/>
        </w:rPr>
        <w:t xml:space="preserve"> (10</w:t>
      </w:r>
      <w:r w:rsidR="00737D23">
        <w:rPr>
          <w:rFonts w:ascii="Times New Roman" w:eastAsia="Times New Roman" w:hAnsi="Times New Roman" w:cs="Times New Roman"/>
          <w:sz w:val="28"/>
          <w:szCs w:val="28"/>
          <w:lang w:eastAsia="ru-RU"/>
        </w:rPr>
        <w:t>%)</w:t>
      </w:r>
      <w:r w:rsidR="00B10A08">
        <w:rPr>
          <w:rFonts w:ascii="Times New Roman" w:eastAsia="Times New Roman" w:hAnsi="Times New Roman" w:cs="Times New Roman"/>
          <w:sz w:val="28"/>
          <w:szCs w:val="28"/>
          <w:lang w:eastAsia="ru-RU"/>
        </w:rPr>
        <w:t>.</w:t>
      </w:r>
    </w:p>
    <w:p w:rsidR="00B10A08" w:rsidRDefault="00B10A08" w:rsidP="00737D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Отдельно следует отметить проверки, проводимые по контролю за закупками, реализуемыми в рамках национальных проектов. </w:t>
      </w:r>
      <w:r w:rsidR="0042132A">
        <w:rPr>
          <w:rFonts w:ascii="Times New Roman" w:eastAsia="Times New Roman" w:hAnsi="Times New Roman" w:cs="Times New Roman"/>
          <w:sz w:val="28"/>
          <w:szCs w:val="28"/>
          <w:lang w:eastAsia="ru-RU"/>
        </w:rPr>
        <w:t xml:space="preserve">В </w:t>
      </w:r>
      <w:r w:rsidR="00AD2390">
        <w:rPr>
          <w:rFonts w:ascii="Times New Roman" w:eastAsia="Times New Roman" w:hAnsi="Times New Roman" w:cs="Times New Roman"/>
          <w:sz w:val="28"/>
          <w:szCs w:val="28"/>
          <w:lang w:eastAsia="ru-RU"/>
        </w:rPr>
        <w:t>2020 году – 38 закупок</w:t>
      </w:r>
      <w:r>
        <w:rPr>
          <w:rFonts w:ascii="Times New Roman" w:eastAsia="Times New Roman" w:hAnsi="Times New Roman" w:cs="Times New Roman"/>
          <w:sz w:val="28"/>
          <w:szCs w:val="28"/>
          <w:lang w:eastAsia="ru-RU"/>
        </w:rPr>
        <w:t>. Основные нарушения, выявляемы при проведении проверок, касаются нарушений размещения информации в единой информационной системе в сфере закупок, а также формирования положений документации.</w:t>
      </w:r>
    </w:p>
    <w:p w:rsidR="00CF76BF" w:rsidRPr="000E4506" w:rsidRDefault="00CF76BF" w:rsidP="00DB5AE0">
      <w:pPr>
        <w:spacing w:after="0" w:line="240" w:lineRule="auto"/>
        <w:ind w:firstLine="851"/>
        <w:jc w:val="both"/>
        <w:rPr>
          <w:rFonts w:ascii="Times New Roman" w:eastAsia="Times New Roman" w:hAnsi="Times New Roman" w:cs="Times New Roman"/>
          <w:sz w:val="28"/>
          <w:szCs w:val="28"/>
          <w:lang w:eastAsia="ru-RU"/>
        </w:rPr>
      </w:pPr>
    </w:p>
    <w:p w:rsidR="006E4C36" w:rsidRDefault="00BF0CC1" w:rsidP="00934E30">
      <w:pPr>
        <w:spacing w:after="0" w:line="240" w:lineRule="auto"/>
        <w:ind w:right="6"/>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У</w:t>
      </w:r>
      <w:r w:rsidR="00934E30">
        <w:rPr>
          <w:rFonts w:ascii="Times New Roman" w:eastAsia="Times New Roman" w:hAnsi="Times New Roman" w:cs="Times New Roman"/>
          <w:b/>
          <w:bCs/>
          <w:sz w:val="32"/>
          <w:szCs w:val="32"/>
          <w:lang w:eastAsia="ru-RU"/>
        </w:rPr>
        <w:t>ведомления</w:t>
      </w:r>
      <w:r w:rsidR="006E4C36" w:rsidRPr="00CF76BF">
        <w:rPr>
          <w:rFonts w:ascii="Times New Roman" w:eastAsia="Times New Roman" w:hAnsi="Times New Roman" w:cs="Times New Roman"/>
          <w:b/>
          <w:bCs/>
          <w:sz w:val="32"/>
          <w:szCs w:val="32"/>
          <w:lang w:eastAsia="ru-RU"/>
        </w:rPr>
        <w:t xml:space="preserve"> об осуществлении закупок у единственного поставщика (подрядчика, исполнителя)</w:t>
      </w:r>
    </w:p>
    <w:p w:rsidR="00963174" w:rsidRPr="00CF76BF" w:rsidRDefault="00963174" w:rsidP="00CF76BF">
      <w:pPr>
        <w:spacing w:after="0" w:line="240" w:lineRule="auto"/>
        <w:ind w:right="6" w:firstLine="851"/>
        <w:jc w:val="center"/>
        <w:rPr>
          <w:rFonts w:ascii="Times New Roman" w:eastAsia="Times New Roman" w:hAnsi="Times New Roman" w:cs="Times New Roman"/>
          <w:sz w:val="32"/>
          <w:szCs w:val="32"/>
          <w:lang w:eastAsia="ru-RU"/>
        </w:rPr>
      </w:pPr>
    </w:p>
    <w:p w:rsidR="00737D23" w:rsidRDefault="00737D23" w:rsidP="004368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следует выделить</w:t>
      </w:r>
      <w:r w:rsidR="00402359">
        <w:rPr>
          <w:rFonts w:ascii="Times New Roman" w:eastAsia="Times New Roman" w:hAnsi="Times New Roman" w:cs="Times New Roman"/>
          <w:sz w:val="28"/>
          <w:szCs w:val="28"/>
          <w:lang w:eastAsia="ru-RU"/>
        </w:rPr>
        <w:t xml:space="preserve"> тенденцию к увеличению поступающих уведомлений</w:t>
      </w:r>
      <w:r>
        <w:rPr>
          <w:rFonts w:ascii="Times New Roman" w:eastAsia="Times New Roman" w:hAnsi="Times New Roman" w:cs="Times New Roman"/>
          <w:sz w:val="28"/>
          <w:szCs w:val="28"/>
          <w:lang w:eastAsia="ru-RU"/>
        </w:rPr>
        <w:t xml:space="preserve"> о заключении контрактов</w:t>
      </w:r>
      <w:r w:rsidR="00402359">
        <w:rPr>
          <w:rFonts w:ascii="Times New Roman" w:eastAsia="Times New Roman" w:hAnsi="Times New Roman" w:cs="Times New Roman"/>
          <w:sz w:val="28"/>
          <w:szCs w:val="28"/>
          <w:lang w:eastAsia="ru-RU"/>
        </w:rPr>
        <w:t xml:space="preserve"> у единственного поставщика</w:t>
      </w:r>
      <w:r w:rsidR="009210BE">
        <w:rPr>
          <w:rFonts w:ascii="Times New Roman" w:eastAsia="Times New Roman" w:hAnsi="Times New Roman" w:cs="Times New Roman"/>
          <w:sz w:val="28"/>
          <w:szCs w:val="28"/>
          <w:lang w:eastAsia="ru-RU"/>
        </w:rPr>
        <w:t xml:space="preserve"> на основании п.6, п. 9 ч. 1 ст. 93 Закона о контрактной системе</w:t>
      </w:r>
      <w:r w:rsidR="00402359">
        <w:rPr>
          <w:rFonts w:ascii="Times New Roman" w:eastAsia="Times New Roman" w:hAnsi="Times New Roman" w:cs="Times New Roman"/>
          <w:sz w:val="28"/>
          <w:szCs w:val="28"/>
          <w:lang w:eastAsia="ru-RU"/>
        </w:rPr>
        <w:t>, что обусловлено</w:t>
      </w:r>
      <w:r>
        <w:rPr>
          <w:rFonts w:ascii="Times New Roman" w:eastAsia="Times New Roman" w:hAnsi="Times New Roman" w:cs="Times New Roman"/>
          <w:sz w:val="28"/>
          <w:szCs w:val="28"/>
          <w:lang w:eastAsia="ru-RU"/>
        </w:rPr>
        <w:t xml:space="preserve"> распространением </w:t>
      </w:r>
      <w:r>
        <w:rPr>
          <w:rFonts w:ascii="Times New Roman" w:eastAsia="Times New Roman" w:hAnsi="Times New Roman" w:cs="Times New Roman"/>
          <w:sz w:val="28"/>
          <w:szCs w:val="28"/>
          <w:lang w:val="en-US" w:eastAsia="ru-RU"/>
        </w:rPr>
        <w:t>COVID</w:t>
      </w:r>
      <w:r w:rsidRPr="00737D2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9. Так, за </w:t>
      </w:r>
      <w:r w:rsidR="00402359" w:rsidRPr="00402359">
        <w:rPr>
          <w:rFonts w:ascii="Times New Roman" w:eastAsia="Times New Roman" w:hAnsi="Times New Roman" w:cs="Times New Roman"/>
          <w:sz w:val="28"/>
          <w:szCs w:val="28"/>
          <w:lang w:eastAsia="ru-RU"/>
        </w:rPr>
        <w:t xml:space="preserve">в </w:t>
      </w:r>
      <w:r w:rsidR="00402359" w:rsidRPr="00402359">
        <w:rPr>
          <w:rFonts w:ascii="Times New Roman" w:hAnsi="Times New Roman" w:cs="Times New Roman"/>
          <w:bCs/>
          <w:sz w:val="28"/>
          <w:szCs w:val="28"/>
          <w:lang w:val="en-US"/>
        </w:rPr>
        <w:t>I</w:t>
      </w:r>
      <w:r w:rsidR="00402359" w:rsidRPr="00402359">
        <w:rPr>
          <w:rFonts w:ascii="Times New Roman" w:hAnsi="Times New Roman" w:cs="Times New Roman"/>
          <w:bCs/>
          <w:sz w:val="28"/>
          <w:szCs w:val="28"/>
        </w:rPr>
        <w:t>-</w:t>
      </w:r>
      <w:r w:rsidR="00402359" w:rsidRPr="00402359">
        <w:rPr>
          <w:rFonts w:ascii="Times New Roman" w:hAnsi="Times New Roman" w:cs="Times New Roman"/>
          <w:bCs/>
          <w:sz w:val="28"/>
          <w:szCs w:val="28"/>
          <w:lang w:val="en-US"/>
        </w:rPr>
        <w:t>III</w:t>
      </w:r>
      <w:r w:rsidR="00402359" w:rsidRPr="00402359">
        <w:rPr>
          <w:rFonts w:ascii="Times New Roman" w:hAnsi="Times New Roman" w:cs="Times New Roman"/>
          <w:bCs/>
          <w:sz w:val="28"/>
          <w:szCs w:val="28"/>
        </w:rPr>
        <w:t xml:space="preserve"> кварталах</w:t>
      </w:r>
      <w:r w:rsidR="00402359" w:rsidRPr="00402359">
        <w:rPr>
          <w:rFonts w:ascii="Times New Roman" w:hAnsi="Times New Roman" w:cs="Times New Roman"/>
          <w:sz w:val="28"/>
          <w:szCs w:val="28"/>
        </w:rPr>
        <w:t xml:space="preserve"> 2020 года</w:t>
      </w:r>
      <w:r w:rsidR="00402359">
        <w:rPr>
          <w:rFonts w:ascii="Times New Roman" w:hAnsi="Times New Roman" w:cs="Times New Roman"/>
          <w:sz w:val="28"/>
          <w:szCs w:val="28"/>
        </w:rPr>
        <w:t xml:space="preserve"> </w:t>
      </w:r>
      <w:r w:rsidR="0040235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Московское УФАС России поступило</w:t>
      </w:r>
      <w:r w:rsidR="00B769AB">
        <w:rPr>
          <w:rFonts w:ascii="Times New Roman" w:eastAsia="Times New Roman" w:hAnsi="Times New Roman" w:cs="Times New Roman"/>
          <w:sz w:val="28"/>
          <w:szCs w:val="28"/>
          <w:lang w:eastAsia="ru-RU"/>
        </w:rPr>
        <w:t xml:space="preserve"> 6530</w:t>
      </w:r>
      <w:r w:rsidR="009210BE">
        <w:rPr>
          <w:rFonts w:ascii="Times New Roman" w:eastAsia="Times New Roman" w:hAnsi="Times New Roman" w:cs="Times New Roman"/>
          <w:sz w:val="28"/>
          <w:szCs w:val="28"/>
          <w:lang w:eastAsia="ru-RU"/>
        </w:rPr>
        <w:t xml:space="preserve"> уведомлений, что более чем в 3,5</w:t>
      </w:r>
      <w:r>
        <w:rPr>
          <w:rFonts w:ascii="Times New Roman" w:eastAsia="Times New Roman" w:hAnsi="Times New Roman" w:cs="Times New Roman"/>
          <w:sz w:val="28"/>
          <w:szCs w:val="28"/>
          <w:lang w:eastAsia="ru-RU"/>
        </w:rPr>
        <w:t xml:space="preserve"> раза больше уведомлений, поступивших за 2019 год</w:t>
      </w:r>
      <w:r w:rsidR="009210BE">
        <w:rPr>
          <w:rFonts w:ascii="Times New Roman" w:eastAsia="Times New Roman" w:hAnsi="Times New Roman" w:cs="Times New Roman"/>
          <w:sz w:val="28"/>
          <w:szCs w:val="28"/>
          <w:lang w:eastAsia="ru-RU"/>
        </w:rPr>
        <w:t xml:space="preserve"> (1827)</w:t>
      </w:r>
      <w:r>
        <w:rPr>
          <w:rFonts w:ascii="Times New Roman" w:eastAsia="Times New Roman" w:hAnsi="Times New Roman" w:cs="Times New Roman"/>
          <w:sz w:val="28"/>
          <w:szCs w:val="28"/>
          <w:lang w:eastAsia="ru-RU"/>
        </w:rPr>
        <w:t xml:space="preserve">. </w:t>
      </w:r>
    </w:p>
    <w:p w:rsidR="006B4556" w:rsidRDefault="006B4556" w:rsidP="004368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стоит отметить, что при рассмотрении указанных уведомлений Московское УФАС России </w:t>
      </w:r>
      <w:r w:rsidR="00F76307">
        <w:rPr>
          <w:rFonts w:ascii="Times New Roman" w:eastAsia="Times New Roman" w:hAnsi="Times New Roman" w:cs="Times New Roman"/>
          <w:sz w:val="28"/>
          <w:szCs w:val="28"/>
          <w:lang w:eastAsia="ru-RU"/>
        </w:rPr>
        <w:t xml:space="preserve">в большинстве случаев </w:t>
      </w:r>
      <w:r>
        <w:rPr>
          <w:rFonts w:ascii="Times New Roman" w:eastAsia="Times New Roman" w:hAnsi="Times New Roman" w:cs="Times New Roman"/>
          <w:sz w:val="28"/>
          <w:szCs w:val="28"/>
          <w:lang w:eastAsia="ru-RU"/>
        </w:rPr>
        <w:t>приходило к выводу об обоснованности заключения таких контрактов</w:t>
      </w:r>
      <w:r w:rsidR="00F76307">
        <w:rPr>
          <w:rFonts w:ascii="Times New Roman" w:eastAsia="Times New Roman" w:hAnsi="Times New Roman" w:cs="Times New Roman"/>
          <w:sz w:val="28"/>
          <w:szCs w:val="28"/>
          <w:lang w:eastAsia="ru-RU"/>
        </w:rPr>
        <w:t xml:space="preserve"> как</w:t>
      </w:r>
      <w:r>
        <w:rPr>
          <w:rFonts w:ascii="Times New Roman" w:eastAsia="Times New Roman" w:hAnsi="Times New Roman" w:cs="Times New Roman"/>
          <w:sz w:val="28"/>
          <w:szCs w:val="28"/>
          <w:lang w:eastAsia="ru-RU"/>
        </w:rPr>
        <w:t xml:space="preserve"> у единственного поставщика, поскольку чаще всего контракты заключались на поставку средств индивидуальной защиты, дезинфицирующих и антисептических средств, дезинфекцию помещений, поставку лекарственных препаратов и медицинской техники в медицинские учреждения, перепрофилированных для лечения больных с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инфекцией.</w:t>
      </w:r>
    </w:p>
    <w:p w:rsidR="00402359" w:rsidRPr="004368A9" w:rsidRDefault="006B4556" w:rsidP="004368A9">
      <w:pPr>
        <w:spacing w:after="0" w:line="240" w:lineRule="auto"/>
        <w:ind w:firstLine="851"/>
        <w:jc w:val="both"/>
        <w:rPr>
          <w:rFonts w:ascii="Times New Roman" w:eastAsia="Times New Roman" w:hAnsi="Times New Roman" w:cs="Times New Roman"/>
          <w:sz w:val="28"/>
          <w:szCs w:val="28"/>
          <w:lang w:eastAsia="ru-RU"/>
        </w:rPr>
      </w:pPr>
      <w:r w:rsidRPr="004368A9">
        <w:rPr>
          <w:rFonts w:ascii="Times New Roman" w:eastAsia="Times New Roman" w:hAnsi="Times New Roman" w:cs="Times New Roman"/>
          <w:sz w:val="28"/>
          <w:szCs w:val="28"/>
          <w:lang w:eastAsia="ru-RU"/>
        </w:rPr>
        <w:lastRenderedPageBreak/>
        <w:t>Не обошлось и без злоупотреблений заказчиками своим правом на заключения контрактов у единственного поставщика. Так, при проведении проверок Московск</w:t>
      </w:r>
      <w:r w:rsidR="00934E30" w:rsidRPr="004368A9">
        <w:rPr>
          <w:rFonts w:ascii="Times New Roman" w:eastAsia="Times New Roman" w:hAnsi="Times New Roman" w:cs="Times New Roman"/>
          <w:sz w:val="28"/>
          <w:szCs w:val="28"/>
          <w:lang w:eastAsia="ru-RU"/>
        </w:rPr>
        <w:t>им УФАС России выявлялись случаи</w:t>
      </w:r>
      <w:r w:rsidRPr="004368A9">
        <w:rPr>
          <w:rFonts w:ascii="Times New Roman" w:eastAsia="Times New Roman" w:hAnsi="Times New Roman" w:cs="Times New Roman"/>
          <w:sz w:val="28"/>
          <w:szCs w:val="28"/>
          <w:lang w:eastAsia="ru-RU"/>
        </w:rPr>
        <w:t xml:space="preserve"> необоснованного заключения контрактов у единственного поставщика, например, на оказание услуг по содержанию автомобильных дорог местного значения, поставку стоматологических принадлежностей</w:t>
      </w:r>
      <w:r w:rsidR="00F76307" w:rsidRPr="004368A9">
        <w:rPr>
          <w:rFonts w:ascii="Times New Roman" w:eastAsia="Times New Roman" w:hAnsi="Times New Roman" w:cs="Times New Roman"/>
          <w:sz w:val="28"/>
          <w:szCs w:val="28"/>
          <w:lang w:eastAsia="ru-RU"/>
        </w:rPr>
        <w:t>, оказание услуг по техническому обслуживанию зданий.</w:t>
      </w:r>
    </w:p>
    <w:p w:rsidR="004368A9" w:rsidRDefault="00402359" w:rsidP="004368A9">
      <w:pPr>
        <w:spacing w:after="0" w:line="240" w:lineRule="auto"/>
        <w:ind w:firstLine="851"/>
        <w:jc w:val="both"/>
        <w:rPr>
          <w:rFonts w:ascii="Times New Roman" w:eastAsia="Times New Roman" w:hAnsi="Times New Roman" w:cs="Times New Roman"/>
          <w:sz w:val="28"/>
          <w:szCs w:val="28"/>
          <w:lang w:eastAsia="ru-RU"/>
        </w:rPr>
      </w:pPr>
      <w:r w:rsidRPr="004368A9">
        <w:rPr>
          <w:rFonts w:ascii="Times New Roman" w:eastAsia="Times New Roman" w:hAnsi="Times New Roman" w:cs="Times New Roman"/>
          <w:sz w:val="28"/>
          <w:szCs w:val="28"/>
          <w:lang w:eastAsia="ru-RU"/>
        </w:rPr>
        <w:t xml:space="preserve">Также стоит отметить, что Законом о контактной системе с июля 2020 года введен механизм согласования заключения контрактов у единственного поставщика в случае признания процедуры закупки несостоявшейся, </w:t>
      </w:r>
      <w:r w:rsidR="009210BE" w:rsidRPr="004368A9">
        <w:rPr>
          <w:rFonts w:ascii="Times New Roman" w:eastAsia="Times New Roman" w:hAnsi="Times New Roman" w:cs="Times New Roman"/>
          <w:sz w:val="28"/>
          <w:szCs w:val="28"/>
          <w:lang w:eastAsia="ru-RU"/>
        </w:rPr>
        <w:t>при условии превышения начальной (максимальной) цены</w:t>
      </w:r>
      <w:r w:rsidRPr="004368A9">
        <w:rPr>
          <w:rFonts w:ascii="Times New Roman" w:eastAsia="Times New Roman" w:hAnsi="Times New Roman" w:cs="Times New Roman"/>
          <w:sz w:val="28"/>
          <w:szCs w:val="28"/>
          <w:lang w:eastAsia="ru-RU"/>
        </w:rPr>
        <w:t xml:space="preserve"> кон</w:t>
      </w:r>
      <w:r w:rsidR="009210BE" w:rsidRPr="004368A9">
        <w:rPr>
          <w:rFonts w:ascii="Times New Roman" w:eastAsia="Times New Roman" w:hAnsi="Times New Roman" w:cs="Times New Roman"/>
          <w:sz w:val="28"/>
          <w:szCs w:val="28"/>
          <w:lang w:eastAsia="ru-RU"/>
        </w:rPr>
        <w:t xml:space="preserve">тракта </w:t>
      </w:r>
      <w:r w:rsidR="00FD7579" w:rsidRPr="004368A9">
        <w:rPr>
          <w:rFonts w:ascii="Times New Roman" w:eastAsia="Times New Roman" w:hAnsi="Times New Roman" w:cs="Times New Roman"/>
          <w:sz w:val="28"/>
          <w:szCs w:val="28"/>
          <w:lang w:eastAsia="ru-RU"/>
        </w:rPr>
        <w:t>закупки предельного</w:t>
      </w:r>
      <w:r w:rsidRPr="004368A9">
        <w:rPr>
          <w:rFonts w:ascii="Times New Roman" w:hAnsi="Times New Roman" w:cs="Times New Roman"/>
          <w:color w:val="000000" w:themeColor="text1"/>
          <w:sz w:val="28"/>
          <w:szCs w:val="28"/>
        </w:rPr>
        <w:t xml:space="preserve"> </w:t>
      </w:r>
      <w:r w:rsidRPr="004368A9">
        <w:rPr>
          <w:rFonts w:ascii="Times New Roman" w:hAnsi="Times New Roman" w:cs="Times New Roman"/>
          <w:sz w:val="28"/>
          <w:szCs w:val="28"/>
        </w:rPr>
        <w:t>начальной (максимальной) цены контракта, у</w:t>
      </w:r>
      <w:r w:rsidR="009210BE" w:rsidRPr="004368A9">
        <w:rPr>
          <w:rFonts w:ascii="Times New Roman" w:hAnsi="Times New Roman" w:cs="Times New Roman"/>
          <w:sz w:val="28"/>
          <w:szCs w:val="28"/>
        </w:rPr>
        <w:t xml:space="preserve">становленной </w:t>
      </w:r>
      <w:r w:rsidRPr="004368A9">
        <w:rPr>
          <w:rFonts w:ascii="Times New Roman" w:hAnsi="Times New Roman" w:cs="Times New Roman"/>
          <w:sz w:val="28"/>
          <w:szCs w:val="28"/>
        </w:rPr>
        <w:t xml:space="preserve">Правительством Российской Федерации. </w:t>
      </w:r>
      <w:r w:rsidR="00AE6C21" w:rsidRPr="004368A9">
        <w:rPr>
          <w:rFonts w:ascii="Times New Roman" w:hAnsi="Times New Roman" w:cs="Times New Roman"/>
          <w:sz w:val="28"/>
          <w:szCs w:val="28"/>
        </w:rPr>
        <w:t xml:space="preserve"> (500млн. – федералы, 250 млн. – субъекты и муниципалы, 1тыс. – запрос предложений если не состоялись). </w:t>
      </w:r>
      <w:r w:rsidRPr="004368A9">
        <w:rPr>
          <w:rFonts w:ascii="Times New Roman" w:hAnsi="Times New Roman" w:cs="Times New Roman"/>
          <w:sz w:val="28"/>
          <w:szCs w:val="28"/>
        </w:rPr>
        <w:t xml:space="preserve">Так, за период с июля 2020 года Московским УФАС России рассмотрено </w:t>
      </w:r>
      <w:r w:rsidR="00B769AB" w:rsidRPr="004368A9">
        <w:rPr>
          <w:rFonts w:ascii="Times New Roman" w:hAnsi="Times New Roman" w:cs="Times New Roman"/>
          <w:sz w:val="28"/>
          <w:szCs w:val="28"/>
        </w:rPr>
        <w:t>24</w:t>
      </w:r>
      <w:r w:rsidRPr="004368A9">
        <w:rPr>
          <w:rFonts w:ascii="Times New Roman" w:hAnsi="Times New Roman" w:cs="Times New Roman"/>
          <w:sz w:val="28"/>
          <w:szCs w:val="28"/>
        </w:rPr>
        <w:t xml:space="preserve"> обращения заказчиков о согласовании заключения </w:t>
      </w:r>
      <w:r w:rsidR="00B769AB" w:rsidRPr="004368A9">
        <w:rPr>
          <w:rFonts w:ascii="Times New Roman" w:hAnsi="Times New Roman" w:cs="Times New Roman"/>
          <w:sz w:val="28"/>
          <w:szCs w:val="28"/>
        </w:rPr>
        <w:t xml:space="preserve">контрактов у единственного поставщика. В большинстве случаев Московским УФАС России принималось решение о согласовании заключения таких контрактов (22). </w:t>
      </w:r>
    </w:p>
    <w:p w:rsidR="004368A9" w:rsidRDefault="004368A9" w:rsidP="004368A9">
      <w:pPr>
        <w:spacing w:after="0" w:line="240" w:lineRule="auto"/>
        <w:ind w:firstLine="851"/>
        <w:jc w:val="both"/>
        <w:rPr>
          <w:rFonts w:ascii="Times New Roman" w:eastAsia="Times New Roman" w:hAnsi="Times New Roman" w:cs="Times New Roman"/>
          <w:sz w:val="28"/>
          <w:szCs w:val="28"/>
          <w:lang w:eastAsia="ru-RU"/>
        </w:rPr>
      </w:pPr>
      <w:r w:rsidRPr="004368A9">
        <w:rPr>
          <w:rFonts w:ascii="Times New Roman" w:hAnsi="Times New Roman" w:cs="Times New Roman"/>
          <w:sz w:val="28"/>
          <w:szCs w:val="28"/>
        </w:rPr>
        <w:t xml:space="preserve">Также, с 1.10.2020года утвержден единый порядок проведения проверок государственных закупок - </w:t>
      </w:r>
      <w:r w:rsidR="00AE6C21" w:rsidRPr="004368A9">
        <w:rPr>
          <w:rFonts w:ascii="Times New Roman" w:hAnsi="Times New Roman" w:cs="Times New Roman"/>
          <w:sz w:val="28"/>
          <w:szCs w:val="28"/>
        </w:rPr>
        <w:t>Постановление №</w:t>
      </w:r>
      <w:r w:rsidRPr="004368A9">
        <w:rPr>
          <w:rFonts w:ascii="Times New Roman" w:hAnsi="Times New Roman" w:cs="Times New Roman"/>
          <w:sz w:val="28"/>
          <w:szCs w:val="28"/>
        </w:rPr>
        <w:t xml:space="preserve">1576 от </w:t>
      </w:r>
      <w:r w:rsidR="002D4AC7">
        <w:rPr>
          <w:rFonts w:ascii="Times New Roman" w:hAnsi="Times New Roman" w:cs="Times New Roman"/>
          <w:sz w:val="28"/>
          <w:szCs w:val="28"/>
        </w:rPr>
        <w:t>0</w:t>
      </w:r>
      <w:r w:rsidRPr="004368A9">
        <w:rPr>
          <w:rFonts w:ascii="Times New Roman" w:hAnsi="Times New Roman" w:cs="Times New Roman"/>
          <w:sz w:val="28"/>
          <w:szCs w:val="28"/>
        </w:rPr>
        <w:t xml:space="preserve">1.10.2020. </w:t>
      </w:r>
      <w:r w:rsidR="00AE6C21" w:rsidRPr="004368A9">
        <w:rPr>
          <w:rFonts w:ascii="Times New Roman" w:hAnsi="Times New Roman" w:cs="Times New Roman"/>
          <w:sz w:val="28"/>
          <w:szCs w:val="28"/>
        </w:rPr>
        <w:t>Правила, утвержденные данным постановлением,</w:t>
      </w:r>
      <w:r w:rsidRPr="004368A9">
        <w:rPr>
          <w:rFonts w:ascii="Times New Roman" w:eastAsia="Times New Roman" w:hAnsi="Times New Roman" w:cs="Times New Roman"/>
          <w:color w:val="333333"/>
          <w:sz w:val="28"/>
          <w:szCs w:val="28"/>
          <w:lang w:eastAsia="ru-RU"/>
        </w:rPr>
        <w:t xml:space="preserve"> </w:t>
      </w:r>
      <w:r w:rsidRPr="004368A9">
        <w:rPr>
          <w:rFonts w:ascii="Times New Roman" w:hAnsi="Times New Roman" w:cs="Times New Roman"/>
          <w:sz w:val="28"/>
          <w:szCs w:val="28"/>
        </w:rPr>
        <w:t>определяют</w:t>
      </w:r>
      <w:r w:rsidRPr="004368A9">
        <w:rPr>
          <w:rFonts w:ascii="Times New Roman" w:eastAsia="Times New Roman" w:hAnsi="Times New Roman" w:cs="Times New Roman"/>
          <w:color w:val="333333"/>
          <w:sz w:val="28"/>
          <w:szCs w:val="28"/>
          <w:lang w:eastAsia="ru-RU"/>
        </w:rPr>
        <w:t xml:space="preserve"> основания проведения проверок, их формы, условия проведения, порядок уведомления и размещения документов в ЕИС, требования к документам, на основании которых проводится проверка, права и обязанности контрольного органа, права и обязанности проверяемых лиц, требования к оформлению результатов проверки и их доведению до проверяемых лиц. Стандартный срок проведения внеплановых проверок составит до 10 рабочих дней, а по закупкам, сведения о которых составляют государственную тайну, - до 20 рабочих дней.</w:t>
      </w:r>
    </w:p>
    <w:p w:rsidR="004368A9" w:rsidRDefault="004368A9" w:rsidP="004368A9">
      <w:pPr>
        <w:spacing w:after="0" w:line="240" w:lineRule="auto"/>
        <w:ind w:firstLine="851"/>
        <w:jc w:val="both"/>
        <w:rPr>
          <w:rFonts w:ascii="Times New Roman" w:eastAsia="Times New Roman" w:hAnsi="Times New Roman" w:cs="Times New Roman"/>
          <w:sz w:val="28"/>
          <w:szCs w:val="28"/>
          <w:lang w:eastAsia="ru-RU"/>
        </w:rPr>
      </w:pPr>
      <w:r w:rsidRPr="004368A9">
        <w:rPr>
          <w:rFonts w:ascii="Times New Roman" w:eastAsia="Times New Roman" w:hAnsi="Times New Roman" w:cs="Times New Roman"/>
          <w:color w:val="333333"/>
          <w:sz w:val="28"/>
          <w:szCs w:val="28"/>
          <w:lang w:eastAsia="ru-RU"/>
        </w:rPr>
        <w:t xml:space="preserve">Акцент сделан на приоритете проведения проверок в документарной форме на основании документов, размещенных в ЕИС, а не в форме выездной проверки, что исключит возможные риски сговора контрольного органа и проверяемого лица. </w:t>
      </w:r>
      <w:r w:rsidRPr="004368A9">
        <w:rPr>
          <w:rFonts w:ascii="Times New Roman" w:eastAsia="Times New Roman" w:hAnsi="Times New Roman" w:cs="Times New Roman"/>
          <w:i/>
          <w:iCs/>
          <w:color w:val="333333"/>
          <w:sz w:val="28"/>
          <w:szCs w:val="28"/>
          <w:lang w:eastAsia="ru-RU"/>
        </w:rPr>
        <w:t>Проверка проводится в обязательном порядке на коллегиальной основе, что обеспечит принятие объективного и взвешенного решения</w:t>
      </w:r>
      <w:r>
        <w:rPr>
          <w:rFonts w:ascii="Times New Roman" w:eastAsia="Times New Roman" w:hAnsi="Times New Roman" w:cs="Times New Roman"/>
          <w:sz w:val="28"/>
          <w:szCs w:val="28"/>
          <w:lang w:eastAsia="ru-RU"/>
        </w:rPr>
        <w:t xml:space="preserve">. </w:t>
      </w:r>
    </w:p>
    <w:p w:rsidR="004368A9" w:rsidRDefault="004368A9" w:rsidP="004368A9">
      <w:pPr>
        <w:spacing w:after="0" w:line="240" w:lineRule="auto"/>
        <w:ind w:firstLine="851"/>
        <w:jc w:val="both"/>
        <w:rPr>
          <w:rFonts w:ascii="Times New Roman" w:eastAsia="Times New Roman" w:hAnsi="Times New Roman" w:cs="Times New Roman"/>
          <w:sz w:val="28"/>
          <w:szCs w:val="28"/>
          <w:lang w:eastAsia="ru-RU"/>
        </w:rPr>
      </w:pPr>
      <w:r w:rsidRPr="004368A9">
        <w:rPr>
          <w:rFonts w:ascii="Times New Roman" w:eastAsia="Times New Roman" w:hAnsi="Times New Roman" w:cs="Times New Roman"/>
          <w:color w:val="333333"/>
          <w:sz w:val="28"/>
          <w:szCs w:val="28"/>
          <w:lang w:eastAsia="ru-RU"/>
        </w:rPr>
        <w:t>Плановая проверка проводится в два этапа. На первом этапе в целях возможности пресечения нарушений законодательства о контрактной системе проводится проверка закупок, по которым контракты не заключены. На втором этапе – остальные закупки за три года до даты начала проверки.</w:t>
      </w:r>
    </w:p>
    <w:p w:rsidR="00BC3FAA" w:rsidRDefault="004368A9" w:rsidP="004368A9">
      <w:pPr>
        <w:spacing w:after="0" w:line="240" w:lineRule="auto"/>
        <w:ind w:firstLine="851"/>
        <w:jc w:val="both"/>
        <w:rPr>
          <w:rFonts w:ascii="Times New Roman" w:eastAsia="Times New Roman" w:hAnsi="Times New Roman" w:cs="Times New Roman"/>
          <w:color w:val="333333"/>
          <w:sz w:val="28"/>
          <w:szCs w:val="28"/>
          <w:lang w:eastAsia="ru-RU"/>
        </w:rPr>
      </w:pPr>
      <w:r w:rsidRPr="004368A9">
        <w:rPr>
          <w:rFonts w:ascii="Times New Roman" w:eastAsia="Times New Roman" w:hAnsi="Times New Roman" w:cs="Times New Roman"/>
          <w:i/>
          <w:iCs/>
          <w:color w:val="333333"/>
          <w:sz w:val="28"/>
          <w:szCs w:val="28"/>
          <w:lang w:eastAsia="ru-RU"/>
        </w:rPr>
        <w:t>В план проверок включаются заказчики на основании определенных критериев, что позволяет сразу же понимать будет ли такой заказчик включаться в план проверки</w:t>
      </w:r>
      <w:r w:rsidRPr="004368A9">
        <w:rPr>
          <w:rFonts w:ascii="Times New Roman" w:eastAsia="Times New Roman" w:hAnsi="Times New Roman" w:cs="Times New Roman"/>
          <w:color w:val="333333"/>
          <w:sz w:val="28"/>
          <w:szCs w:val="28"/>
          <w:lang w:eastAsia="ru-RU"/>
        </w:rPr>
        <w:t xml:space="preserve">». </w:t>
      </w:r>
    </w:p>
    <w:p w:rsidR="00BC3FAA" w:rsidRPr="00BC3FAA" w:rsidRDefault="00BC3FAA" w:rsidP="00BC3FAA">
      <w:pPr>
        <w:spacing w:after="0" w:line="240" w:lineRule="auto"/>
        <w:ind w:firstLine="851"/>
        <w:jc w:val="both"/>
        <w:rPr>
          <w:rFonts w:ascii="Times New Roman" w:eastAsia="Times New Roman" w:hAnsi="Times New Roman" w:cs="Times New Roman"/>
          <w:color w:val="333333"/>
          <w:sz w:val="28"/>
          <w:szCs w:val="28"/>
          <w:lang w:eastAsia="ru-RU"/>
        </w:rPr>
      </w:pPr>
      <w:r w:rsidRPr="00BC3FAA">
        <w:rPr>
          <w:rFonts w:ascii="Times New Roman" w:eastAsia="Times New Roman" w:hAnsi="Times New Roman" w:cs="Times New Roman"/>
          <w:color w:val="333333"/>
          <w:sz w:val="28"/>
          <w:szCs w:val="28"/>
          <w:lang w:eastAsia="ru-RU"/>
        </w:rPr>
        <w:t xml:space="preserve">Всего вводится три категории риска - высокой, средней и низкой. Федеральная антимонопольная служба (ФАС) России должна будет </w:t>
      </w:r>
      <w:r w:rsidRPr="00BC3FAA">
        <w:rPr>
          <w:rFonts w:ascii="Times New Roman" w:eastAsia="Times New Roman" w:hAnsi="Times New Roman" w:cs="Times New Roman"/>
          <w:color w:val="333333"/>
          <w:sz w:val="28"/>
          <w:szCs w:val="28"/>
          <w:lang w:eastAsia="ru-RU"/>
        </w:rPr>
        <w:lastRenderedPageBreak/>
        <w:t xml:space="preserve">составлять план проведения плановых проверок </w:t>
      </w:r>
      <w:proofErr w:type="spellStart"/>
      <w:r w:rsidRPr="00BC3FAA">
        <w:rPr>
          <w:rFonts w:ascii="Times New Roman" w:eastAsia="Times New Roman" w:hAnsi="Times New Roman" w:cs="Times New Roman"/>
          <w:color w:val="333333"/>
          <w:sz w:val="28"/>
          <w:szCs w:val="28"/>
          <w:lang w:eastAsia="ru-RU"/>
        </w:rPr>
        <w:t>госзаказчиков</w:t>
      </w:r>
      <w:proofErr w:type="spellEnd"/>
      <w:r w:rsidRPr="00BC3FAA">
        <w:rPr>
          <w:rFonts w:ascii="Times New Roman" w:eastAsia="Times New Roman" w:hAnsi="Times New Roman" w:cs="Times New Roman"/>
          <w:color w:val="333333"/>
          <w:sz w:val="28"/>
          <w:szCs w:val="28"/>
          <w:lang w:eastAsia="ru-RU"/>
        </w:rPr>
        <w:t xml:space="preserve"> с учетом их отнесения </w:t>
      </w:r>
      <w:r>
        <w:rPr>
          <w:rFonts w:ascii="Times New Roman" w:eastAsia="Times New Roman" w:hAnsi="Times New Roman" w:cs="Times New Roman"/>
          <w:color w:val="333333"/>
          <w:sz w:val="28"/>
          <w:szCs w:val="28"/>
          <w:lang w:eastAsia="ru-RU"/>
        </w:rPr>
        <w:t>к той или иной категории риска.</w:t>
      </w:r>
    </w:p>
    <w:p w:rsidR="00BC3FAA" w:rsidRPr="00BC3FAA" w:rsidRDefault="00BC3FAA" w:rsidP="00BC3FAA">
      <w:pPr>
        <w:spacing w:after="0" w:line="240" w:lineRule="auto"/>
        <w:ind w:firstLine="851"/>
        <w:jc w:val="both"/>
        <w:rPr>
          <w:rFonts w:ascii="Times New Roman" w:eastAsia="Times New Roman" w:hAnsi="Times New Roman" w:cs="Times New Roman"/>
          <w:color w:val="333333"/>
          <w:sz w:val="28"/>
          <w:szCs w:val="28"/>
          <w:lang w:eastAsia="ru-RU"/>
        </w:rPr>
      </w:pPr>
      <w:r w:rsidRPr="00BC3FAA">
        <w:rPr>
          <w:rFonts w:ascii="Times New Roman" w:eastAsia="Times New Roman" w:hAnsi="Times New Roman" w:cs="Times New Roman"/>
          <w:color w:val="333333"/>
          <w:sz w:val="28"/>
          <w:szCs w:val="28"/>
          <w:lang w:eastAsia="ru-RU"/>
        </w:rPr>
        <w:t xml:space="preserve">Решение об отнесении конкретного заказчика к какой-либо из этих категорий будет приниматься на основании трех критериев. Один их них - количество закупок, проведенных с нарушениями закупочного законодательства, выявленными на основании внеплановых проверок, проведенных по жалобам участников торгов. Другой критерий - количество случаев неисполнения предписаний ФАС. Еще один критерий - число случаев по </w:t>
      </w:r>
      <w:r w:rsidR="00967F96" w:rsidRPr="00BC3FAA">
        <w:rPr>
          <w:rFonts w:ascii="Times New Roman" w:eastAsia="Times New Roman" w:hAnsi="Times New Roman" w:cs="Times New Roman"/>
          <w:color w:val="333333"/>
          <w:sz w:val="28"/>
          <w:szCs w:val="28"/>
          <w:lang w:eastAsia="ru-RU"/>
        </w:rPr>
        <w:t>не включению</w:t>
      </w:r>
      <w:r w:rsidRPr="00BC3FAA">
        <w:rPr>
          <w:rFonts w:ascii="Times New Roman" w:eastAsia="Times New Roman" w:hAnsi="Times New Roman" w:cs="Times New Roman"/>
          <w:color w:val="333333"/>
          <w:sz w:val="28"/>
          <w:szCs w:val="28"/>
          <w:lang w:eastAsia="ru-RU"/>
        </w:rPr>
        <w:t xml:space="preserve"> подрядчиков в реестр недобросовестных поставщиков при одностороннем расторжении контракта.</w:t>
      </w:r>
    </w:p>
    <w:p w:rsidR="00BC3FAA" w:rsidRPr="00BC3FAA" w:rsidRDefault="00BC3FAA" w:rsidP="00BC3FAA">
      <w:pPr>
        <w:spacing w:after="0" w:line="240" w:lineRule="auto"/>
        <w:ind w:firstLine="851"/>
        <w:jc w:val="both"/>
        <w:rPr>
          <w:rFonts w:ascii="Times New Roman" w:eastAsia="Times New Roman" w:hAnsi="Times New Roman" w:cs="Times New Roman"/>
          <w:color w:val="333333"/>
          <w:sz w:val="28"/>
          <w:szCs w:val="28"/>
          <w:lang w:eastAsia="ru-RU"/>
        </w:rPr>
      </w:pPr>
    </w:p>
    <w:p w:rsidR="00BC3FAA" w:rsidRDefault="00BC3FAA" w:rsidP="00BC3FAA">
      <w:pPr>
        <w:spacing w:after="0" w:line="240" w:lineRule="auto"/>
        <w:ind w:firstLine="851"/>
        <w:jc w:val="both"/>
        <w:rPr>
          <w:rFonts w:ascii="Times New Roman" w:eastAsia="Times New Roman" w:hAnsi="Times New Roman" w:cs="Times New Roman"/>
          <w:color w:val="333333"/>
          <w:sz w:val="28"/>
          <w:szCs w:val="28"/>
          <w:lang w:eastAsia="ru-RU"/>
        </w:rPr>
      </w:pPr>
      <w:r w:rsidRPr="00BC3FAA">
        <w:rPr>
          <w:rFonts w:ascii="Times New Roman" w:eastAsia="Times New Roman" w:hAnsi="Times New Roman" w:cs="Times New Roman"/>
          <w:color w:val="333333"/>
          <w:sz w:val="28"/>
          <w:szCs w:val="28"/>
          <w:lang w:eastAsia="ru-RU"/>
        </w:rPr>
        <w:t>Каждый из критериев будет рассчитываться на основании информации, размещенной в Единой информационной системе (ЕИС) в сфере закупок по соответствующей формуле. Для определения категории риска вводится своя формула, по которой заказчик может набрать от 0 до 100 баллов.</w:t>
      </w:r>
    </w:p>
    <w:p w:rsidR="00BC3FAA" w:rsidRDefault="00BC3FAA" w:rsidP="004368A9">
      <w:pPr>
        <w:spacing w:after="0" w:line="240" w:lineRule="auto"/>
        <w:ind w:firstLine="851"/>
        <w:jc w:val="both"/>
        <w:rPr>
          <w:rFonts w:ascii="Times New Roman" w:eastAsia="Times New Roman" w:hAnsi="Times New Roman" w:cs="Times New Roman"/>
          <w:color w:val="333333"/>
          <w:sz w:val="28"/>
          <w:szCs w:val="28"/>
          <w:lang w:eastAsia="ru-RU"/>
        </w:rPr>
      </w:pPr>
    </w:p>
    <w:p w:rsidR="004368A9" w:rsidRPr="004368A9" w:rsidRDefault="004368A9" w:rsidP="004368A9">
      <w:pPr>
        <w:spacing w:after="0" w:line="240" w:lineRule="auto"/>
        <w:ind w:firstLine="851"/>
        <w:jc w:val="both"/>
        <w:rPr>
          <w:rFonts w:ascii="Times New Roman" w:eastAsia="Times New Roman" w:hAnsi="Times New Roman" w:cs="Times New Roman"/>
          <w:sz w:val="28"/>
          <w:szCs w:val="28"/>
          <w:lang w:eastAsia="ru-RU"/>
        </w:rPr>
      </w:pPr>
      <w:r w:rsidRPr="004368A9">
        <w:rPr>
          <w:rFonts w:ascii="Times New Roman" w:eastAsia="Times New Roman" w:hAnsi="Times New Roman" w:cs="Times New Roman"/>
          <w:color w:val="333333"/>
          <w:sz w:val="28"/>
          <w:szCs w:val="28"/>
          <w:lang w:eastAsia="ru-RU"/>
        </w:rPr>
        <w:t>С июля 2022 года расчет критериев будет осуществляться в автоматическом режиме в ЕИС.</w:t>
      </w:r>
    </w:p>
    <w:p w:rsidR="004368A9" w:rsidRPr="004368A9" w:rsidRDefault="004368A9" w:rsidP="004368A9">
      <w:pPr>
        <w:spacing w:after="0" w:line="240" w:lineRule="auto"/>
        <w:jc w:val="both"/>
        <w:rPr>
          <w:rFonts w:ascii="Times New Roman" w:eastAsia="Times New Roman" w:hAnsi="Times New Roman" w:cs="Times New Roman"/>
          <w:color w:val="333333"/>
          <w:sz w:val="28"/>
          <w:szCs w:val="28"/>
          <w:lang w:eastAsia="ru-RU"/>
        </w:rPr>
      </w:pPr>
      <w:r w:rsidRPr="004368A9">
        <w:rPr>
          <w:rFonts w:ascii="Times New Roman" w:eastAsia="Times New Roman" w:hAnsi="Times New Roman" w:cs="Times New Roman"/>
          <w:color w:val="333333"/>
          <w:sz w:val="28"/>
          <w:szCs w:val="28"/>
          <w:lang w:eastAsia="ru-RU"/>
        </w:rPr>
        <w:t> </w:t>
      </w:r>
    </w:p>
    <w:p w:rsidR="004368A9" w:rsidRDefault="004368A9" w:rsidP="004368A9">
      <w:pPr>
        <w:spacing w:after="0" w:line="240" w:lineRule="auto"/>
        <w:jc w:val="both"/>
        <w:rPr>
          <w:rFonts w:ascii="Times New Roman" w:eastAsia="Times New Roman" w:hAnsi="Times New Roman" w:cs="Times New Roman"/>
          <w:color w:val="333333"/>
          <w:sz w:val="28"/>
          <w:szCs w:val="28"/>
          <w:lang w:eastAsia="ru-RU"/>
        </w:rPr>
      </w:pPr>
      <w:r w:rsidRPr="004368A9">
        <w:rPr>
          <w:rFonts w:ascii="Times New Roman" w:eastAsia="Times New Roman" w:hAnsi="Times New Roman" w:cs="Times New Roman"/>
          <w:i/>
          <w:iCs/>
          <w:color w:val="333333"/>
          <w:sz w:val="28"/>
          <w:szCs w:val="28"/>
          <w:lang w:eastAsia="ru-RU"/>
        </w:rPr>
        <w:t>Принятый порядок проверки закупок позволит сформировать единообразную практику применения положений законодательства о госзаказе контролирующими органами всех уровней: федеральным, региональным и муниципальным</w:t>
      </w:r>
      <w:r w:rsidRPr="004368A9">
        <w:rPr>
          <w:rFonts w:ascii="Times New Roman" w:eastAsia="Times New Roman" w:hAnsi="Times New Roman" w:cs="Times New Roman"/>
          <w:color w:val="333333"/>
          <w:sz w:val="28"/>
          <w:szCs w:val="28"/>
          <w:lang w:eastAsia="ru-RU"/>
        </w:rPr>
        <w:t>».</w:t>
      </w:r>
    </w:p>
    <w:p w:rsidR="00BC3FAA" w:rsidRDefault="00BC3FAA" w:rsidP="004368A9">
      <w:pPr>
        <w:spacing w:after="0" w:line="240" w:lineRule="auto"/>
        <w:jc w:val="both"/>
        <w:rPr>
          <w:rFonts w:ascii="Times New Roman" w:eastAsia="Times New Roman" w:hAnsi="Times New Roman" w:cs="Times New Roman"/>
          <w:color w:val="333333"/>
          <w:sz w:val="28"/>
          <w:szCs w:val="28"/>
          <w:lang w:eastAsia="ru-RU"/>
        </w:rPr>
      </w:pPr>
    </w:p>
    <w:p w:rsidR="00BC3FAA" w:rsidRDefault="00BC3FAA" w:rsidP="004368A9">
      <w:pPr>
        <w:spacing w:after="0" w:line="240" w:lineRule="auto"/>
        <w:jc w:val="both"/>
        <w:rPr>
          <w:rFonts w:ascii="Times New Roman" w:eastAsia="Times New Roman" w:hAnsi="Times New Roman" w:cs="Times New Roman"/>
          <w:color w:val="333333"/>
          <w:sz w:val="28"/>
          <w:szCs w:val="28"/>
          <w:lang w:eastAsia="ru-RU"/>
        </w:rPr>
      </w:pPr>
    </w:p>
    <w:p w:rsidR="00BC3FAA" w:rsidRDefault="00BC3FAA" w:rsidP="004368A9">
      <w:pPr>
        <w:spacing w:after="0" w:line="240" w:lineRule="auto"/>
        <w:jc w:val="both"/>
        <w:rPr>
          <w:rFonts w:ascii="Times New Roman" w:eastAsia="Times New Roman" w:hAnsi="Times New Roman" w:cs="Times New Roman"/>
          <w:color w:val="333333"/>
          <w:sz w:val="28"/>
          <w:szCs w:val="28"/>
          <w:lang w:eastAsia="ru-RU"/>
        </w:rPr>
      </w:pPr>
    </w:p>
    <w:p w:rsidR="00BC3FAA" w:rsidRDefault="00BC3FAA" w:rsidP="004368A9">
      <w:pPr>
        <w:spacing w:after="0" w:line="240" w:lineRule="auto"/>
        <w:jc w:val="both"/>
        <w:rPr>
          <w:rFonts w:ascii="Times New Roman" w:eastAsia="Times New Roman" w:hAnsi="Times New Roman" w:cs="Times New Roman"/>
          <w:color w:val="333333"/>
          <w:sz w:val="28"/>
          <w:szCs w:val="28"/>
          <w:lang w:eastAsia="ru-RU"/>
        </w:rPr>
      </w:pPr>
    </w:p>
    <w:p w:rsidR="001760D2" w:rsidRPr="004368A9" w:rsidRDefault="001760D2" w:rsidP="004368A9">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ГБУ </w:t>
      </w:r>
      <w:proofErr w:type="spellStart"/>
      <w:r>
        <w:rPr>
          <w:rFonts w:ascii="Times New Roman" w:eastAsia="Times New Roman" w:hAnsi="Times New Roman" w:cs="Times New Roman"/>
          <w:color w:val="333333"/>
          <w:sz w:val="28"/>
          <w:szCs w:val="28"/>
          <w:lang w:eastAsia="ru-RU"/>
        </w:rPr>
        <w:t>Гормост</w:t>
      </w:r>
      <w:proofErr w:type="spellEnd"/>
      <w:r>
        <w:rPr>
          <w:rFonts w:ascii="Times New Roman" w:eastAsia="Times New Roman" w:hAnsi="Times New Roman" w:cs="Times New Roman"/>
          <w:color w:val="333333"/>
          <w:sz w:val="28"/>
          <w:szCs w:val="28"/>
          <w:lang w:eastAsia="ru-RU"/>
        </w:rPr>
        <w:t xml:space="preserve">, </w:t>
      </w:r>
      <w:r w:rsidRPr="001760D2">
        <w:rPr>
          <w:rFonts w:ascii="Times New Roman" w:eastAsia="Times New Roman" w:hAnsi="Times New Roman" w:cs="Times New Roman"/>
          <w:color w:val="333333"/>
          <w:sz w:val="28"/>
          <w:szCs w:val="28"/>
          <w:lang w:eastAsia="ru-RU"/>
        </w:rPr>
        <w:t xml:space="preserve">ФГБУ </w:t>
      </w:r>
      <w:proofErr w:type="spellStart"/>
      <w:r w:rsidRPr="001760D2">
        <w:rPr>
          <w:rFonts w:ascii="Times New Roman" w:eastAsia="Times New Roman" w:hAnsi="Times New Roman" w:cs="Times New Roman"/>
          <w:color w:val="333333"/>
          <w:sz w:val="28"/>
          <w:szCs w:val="28"/>
          <w:lang w:eastAsia="ru-RU"/>
        </w:rPr>
        <w:t>Рослесинфорг</w:t>
      </w:r>
      <w:proofErr w:type="spellEnd"/>
      <w:r w:rsidR="000B55E5">
        <w:rPr>
          <w:rFonts w:ascii="Times New Roman" w:eastAsia="Times New Roman" w:hAnsi="Times New Roman" w:cs="Times New Roman"/>
          <w:color w:val="333333"/>
          <w:sz w:val="28"/>
          <w:szCs w:val="28"/>
          <w:lang w:eastAsia="ru-RU"/>
        </w:rPr>
        <w:t xml:space="preserve"> - </w:t>
      </w:r>
      <w:proofErr w:type="spellStart"/>
      <w:r w:rsidR="000B55E5">
        <w:rPr>
          <w:rFonts w:ascii="Times New Roman" w:eastAsia="Times New Roman" w:hAnsi="Times New Roman" w:cs="Times New Roman"/>
          <w:color w:val="333333"/>
          <w:sz w:val="28"/>
          <w:szCs w:val="28"/>
          <w:lang w:eastAsia="ru-RU"/>
        </w:rPr>
        <w:t>планово</w:t>
      </w:r>
      <w:proofErr w:type="spellEnd"/>
    </w:p>
    <w:p w:rsidR="004368A9" w:rsidRPr="004368A9" w:rsidRDefault="004368A9" w:rsidP="004368A9">
      <w:pPr>
        <w:spacing w:after="0" w:line="240" w:lineRule="auto"/>
        <w:jc w:val="both"/>
        <w:rPr>
          <w:rFonts w:ascii="Times New Roman" w:eastAsia="Times New Roman" w:hAnsi="Times New Roman" w:cs="Times New Roman"/>
          <w:color w:val="333333"/>
          <w:sz w:val="28"/>
          <w:szCs w:val="28"/>
          <w:lang w:eastAsia="ru-RU"/>
        </w:rPr>
      </w:pPr>
      <w:r w:rsidRPr="004368A9">
        <w:rPr>
          <w:rFonts w:ascii="Times New Roman" w:eastAsia="Times New Roman" w:hAnsi="Times New Roman" w:cs="Times New Roman"/>
          <w:color w:val="333333"/>
          <w:sz w:val="28"/>
          <w:szCs w:val="28"/>
          <w:lang w:eastAsia="ru-RU"/>
        </w:rPr>
        <w:t> </w:t>
      </w:r>
    </w:p>
    <w:p w:rsidR="004368A9" w:rsidRDefault="004368A9" w:rsidP="004368A9">
      <w:pPr>
        <w:spacing w:after="0" w:line="240" w:lineRule="auto"/>
        <w:rPr>
          <w:rFonts w:ascii="Calibri" w:hAnsi="Calibri" w:cs="Calibri"/>
          <w:sz w:val="24"/>
          <w:szCs w:val="24"/>
        </w:rPr>
      </w:pPr>
    </w:p>
    <w:p w:rsidR="004368A9" w:rsidRDefault="004368A9"/>
    <w:sectPr w:rsidR="004368A9" w:rsidSect="00B10A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5C" w:rsidRDefault="004A3F5C" w:rsidP="00B10A08">
      <w:pPr>
        <w:spacing w:after="0" w:line="240" w:lineRule="auto"/>
      </w:pPr>
      <w:r>
        <w:separator/>
      </w:r>
    </w:p>
  </w:endnote>
  <w:endnote w:type="continuationSeparator" w:id="0">
    <w:p w:rsidR="004A3F5C" w:rsidRDefault="004A3F5C" w:rsidP="00B1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5C" w:rsidRDefault="004A3F5C" w:rsidP="00B10A08">
      <w:pPr>
        <w:spacing w:after="0" w:line="240" w:lineRule="auto"/>
      </w:pPr>
      <w:r>
        <w:separator/>
      </w:r>
    </w:p>
  </w:footnote>
  <w:footnote w:type="continuationSeparator" w:id="0">
    <w:p w:rsidR="004A3F5C" w:rsidRDefault="004A3F5C" w:rsidP="00B1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820895"/>
      <w:docPartObj>
        <w:docPartGallery w:val="Page Numbers (Top of Page)"/>
        <w:docPartUnique/>
      </w:docPartObj>
    </w:sdtPr>
    <w:sdtEndPr/>
    <w:sdtContent>
      <w:p w:rsidR="00B10A08" w:rsidRDefault="00B10A08">
        <w:pPr>
          <w:pStyle w:val="Header"/>
          <w:jc w:val="center"/>
        </w:pPr>
        <w:r>
          <w:fldChar w:fldCharType="begin"/>
        </w:r>
        <w:r>
          <w:instrText>PAGE   \* MERGEFORMAT</w:instrText>
        </w:r>
        <w:r>
          <w:fldChar w:fldCharType="separate"/>
        </w:r>
        <w:r w:rsidR="00B0605F">
          <w:rPr>
            <w:noProof/>
          </w:rPr>
          <w:t>6</w:t>
        </w:r>
        <w:r>
          <w:fldChar w:fldCharType="end"/>
        </w:r>
      </w:p>
    </w:sdtContent>
  </w:sdt>
  <w:p w:rsidR="00B10A08" w:rsidRDefault="00B10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E0F"/>
    <w:multiLevelType w:val="hybridMultilevel"/>
    <w:tmpl w:val="FA647F40"/>
    <w:lvl w:ilvl="0" w:tplc="2C9CE04A">
      <w:start w:val="1"/>
      <w:numFmt w:val="upperRoman"/>
      <w:lvlText w:val="%1."/>
      <w:lvlJc w:val="left"/>
      <w:pPr>
        <w:ind w:left="1287" w:hanging="72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D17E3F"/>
    <w:multiLevelType w:val="hybridMultilevel"/>
    <w:tmpl w:val="2522FD44"/>
    <w:lvl w:ilvl="0" w:tplc="B01C9B20">
      <w:start w:val="1"/>
      <w:numFmt w:val="bullet"/>
      <w:lvlText w:val=""/>
      <w:lvlJc w:val="left"/>
      <w:pPr>
        <w:tabs>
          <w:tab w:val="num" w:pos="720"/>
        </w:tabs>
        <w:ind w:left="720" w:hanging="360"/>
      </w:pPr>
      <w:rPr>
        <w:rFonts w:ascii="Wingdings" w:hAnsi="Wingdings" w:hint="default"/>
      </w:rPr>
    </w:lvl>
    <w:lvl w:ilvl="1" w:tplc="950675A0" w:tentative="1">
      <w:start w:val="1"/>
      <w:numFmt w:val="bullet"/>
      <w:lvlText w:val=""/>
      <w:lvlJc w:val="left"/>
      <w:pPr>
        <w:tabs>
          <w:tab w:val="num" w:pos="1440"/>
        </w:tabs>
        <w:ind w:left="1440" w:hanging="360"/>
      </w:pPr>
      <w:rPr>
        <w:rFonts w:ascii="Wingdings" w:hAnsi="Wingdings" w:hint="default"/>
      </w:rPr>
    </w:lvl>
    <w:lvl w:ilvl="2" w:tplc="16700CBC" w:tentative="1">
      <w:start w:val="1"/>
      <w:numFmt w:val="bullet"/>
      <w:lvlText w:val=""/>
      <w:lvlJc w:val="left"/>
      <w:pPr>
        <w:tabs>
          <w:tab w:val="num" w:pos="2160"/>
        </w:tabs>
        <w:ind w:left="2160" w:hanging="360"/>
      </w:pPr>
      <w:rPr>
        <w:rFonts w:ascii="Wingdings" w:hAnsi="Wingdings" w:hint="default"/>
      </w:rPr>
    </w:lvl>
    <w:lvl w:ilvl="3" w:tplc="D9FEA084" w:tentative="1">
      <w:start w:val="1"/>
      <w:numFmt w:val="bullet"/>
      <w:lvlText w:val=""/>
      <w:lvlJc w:val="left"/>
      <w:pPr>
        <w:tabs>
          <w:tab w:val="num" w:pos="2880"/>
        </w:tabs>
        <w:ind w:left="2880" w:hanging="360"/>
      </w:pPr>
      <w:rPr>
        <w:rFonts w:ascii="Wingdings" w:hAnsi="Wingdings" w:hint="default"/>
      </w:rPr>
    </w:lvl>
    <w:lvl w:ilvl="4" w:tplc="93383FFC" w:tentative="1">
      <w:start w:val="1"/>
      <w:numFmt w:val="bullet"/>
      <w:lvlText w:val=""/>
      <w:lvlJc w:val="left"/>
      <w:pPr>
        <w:tabs>
          <w:tab w:val="num" w:pos="3600"/>
        </w:tabs>
        <w:ind w:left="3600" w:hanging="360"/>
      </w:pPr>
      <w:rPr>
        <w:rFonts w:ascii="Wingdings" w:hAnsi="Wingdings" w:hint="default"/>
      </w:rPr>
    </w:lvl>
    <w:lvl w:ilvl="5" w:tplc="39083656" w:tentative="1">
      <w:start w:val="1"/>
      <w:numFmt w:val="bullet"/>
      <w:lvlText w:val=""/>
      <w:lvlJc w:val="left"/>
      <w:pPr>
        <w:tabs>
          <w:tab w:val="num" w:pos="4320"/>
        </w:tabs>
        <w:ind w:left="4320" w:hanging="360"/>
      </w:pPr>
      <w:rPr>
        <w:rFonts w:ascii="Wingdings" w:hAnsi="Wingdings" w:hint="default"/>
      </w:rPr>
    </w:lvl>
    <w:lvl w:ilvl="6" w:tplc="EACEA360" w:tentative="1">
      <w:start w:val="1"/>
      <w:numFmt w:val="bullet"/>
      <w:lvlText w:val=""/>
      <w:lvlJc w:val="left"/>
      <w:pPr>
        <w:tabs>
          <w:tab w:val="num" w:pos="5040"/>
        </w:tabs>
        <w:ind w:left="5040" w:hanging="360"/>
      </w:pPr>
      <w:rPr>
        <w:rFonts w:ascii="Wingdings" w:hAnsi="Wingdings" w:hint="default"/>
      </w:rPr>
    </w:lvl>
    <w:lvl w:ilvl="7" w:tplc="489AD46E" w:tentative="1">
      <w:start w:val="1"/>
      <w:numFmt w:val="bullet"/>
      <w:lvlText w:val=""/>
      <w:lvlJc w:val="left"/>
      <w:pPr>
        <w:tabs>
          <w:tab w:val="num" w:pos="5760"/>
        </w:tabs>
        <w:ind w:left="5760" w:hanging="360"/>
      </w:pPr>
      <w:rPr>
        <w:rFonts w:ascii="Wingdings" w:hAnsi="Wingdings" w:hint="default"/>
      </w:rPr>
    </w:lvl>
    <w:lvl w:ilvl="8" w:tplc="053A04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892AC3"/>
    <w:multiLevelType w:val="hybridMultilevel"/>
    <w:tmpl w:val="49A22BEA"/>
    <w:lvl w:ilvl="0" w:tplc="1744000A">
      <w:start w:val="1"/>
      <w:numFmt w:val="bullet"/>
      <w:lvlText w:val=""/>
      <w:lvlJc w:val="left"/>
      <w:pPr>
        <w:tabs>
          <w:tab w:val="num" w:pos="720"/>
        </w:tabs>
        <w:ind w:left="720" w:hanging="360"/>
      </w:pPr>
      <w:rPr>
        <w:rFonts w:ascii="Wingdings" w:hAnsi="Wingdings" w:hint="default"/>
      </w:rPr>
    </w:lvl>
    <w:lvl w:ilvl="1" w:tplc="B5C03FF0" w:tentative="1">
      <w:start w:val="1"/>
      <w:numFmt w:val="bullet"/>
      <w:lvlText w:val=""/>
      <w:lvlJc w:val="left"/>
      <w:pPr>
        <w:tabs>
          <w:tab w:val="num" w:pos="1440"/>
        </w:tabs>
        <w:ind w:left="1440" w:hanging="360"/>
      </w:pPr>
      <w:rPr>
        <w:rFonts w:ascii="Wingdings" w:hAnsi="Wingdings" w:hint="default"/>
      </w:rPr>
    </w:lvl>
    <w:lvl w:ilvl="2" w:tplc="46E8BBD6" w:tentative="1">
      <w:start w:val="1"/>
      <w:numFmt w:val="bullet"/>
      <w:lvlText w:val=""/>
      <w:lvlJc w:val="left"/>
      <w:pPr>
        <w:tabs>
          <w:tab w:val="num" w:pos="2160"/>
        </w:tabs>
        <w:ind w:left="2160" w:hanging="360"/>
      </w:pPr>
      <w:rPr>
        <w:rFonts w:ascii="Wingdings" w:hAnsi="Wingdings" w:hint="default"/>
      </w:rPr>
    </w:lvl>
    <w:lvl w:ilvl="3" w:tplc="A454C5B8" w:tentative="1">
      <w:start w:val="1"/>
      <w:numFmt w:val="bullet"/>
      <w:lvlText w:val=""/>
      <w:lvlJc w:val="left"/>
      <w:pPr>
        <w:tabs>
          <w:tab w:val="num" w:pos="2880"/>
        </w:tabs>
        <w:ind w:left="2880" w:hanging="360"/>
      </w:pPr>
      <w:rPr>
        <w:rFonts w:ascii="Wingdings" w:hAnsi="Wingdings" w:hint="default"/>
      </w:rPr>
    </w:lvl>
    <w:lvl w:ilvl="4" w:tplc="AF7CD798" w:tentative="1">
      <w:start w:val="1"/>
      <w:numFmt w:val="bullet"/>
      <w:lvlText w:val=""/>
      <w:lvlJc w:val="left"/>
      <w:pPr>
        <w:tabs>
          <w:tab w:val="num" w:pos="3600"/>
        </w:tabs>
        <w:ind w:left="3600" w:hanging="360"/>
      </w:pPr>
      <w:rPr>
        <w:rFonts w:ascii="Wingdings" w:hAnsi="Wingdings" w:hint="default"/>
      </w:rPr>
    </w:lvl>
    <w:lvl w:ilvl="5" w:tplc="91C4919A" w:tentative="1">
      <w:start w:val="1"/>
      <w:numFmt w:val="bullet"/>
      <w:lvlText w:val=""/>
      <w:lvlJc w:val="left"/>
      <w:pPr>
        <w:tabs>
          <w:tab w:val="num" w:pos="4320"/>
        </w:tabs>
        <w:ind w:left="4320" w:hanging="360"/>
      </w:pPr>
      <w:rPr>
        <w:rFonts w:ascii="Wingdings" w:hAnsi="Wingdings" w:hint="default"/>
      </w:rPr>
    </w:lvl>
    <w:lvl w:ilvl="6" w:tplc="259ACB64" w:tentative="1">
      <w:start w:val="1"/>
      <w:numFmt w:val="bullet"/>
      <w:lvlText w:val=""/>
      <w:lvlJc w:val="left"/>
      <w:pPr>
        <w:tabs>
          <w:tab w:val="num" w:pos="5040"/>
        </w:tabs>
        <w:ind w:left="5040" w:hanging="360"/>
      </w:pPr>
      <w:rPr>
        <w:rFonts w:ascii="Wingdings" w:hAnsi="Wingdings" w:hint="default"/>
      </w:rPr>
    </w:lvl>
    <w:lvl w:ilvl="7" w:tplc="4ABA49E6" w:tentative="1">
      <w:start w:val="1"/>
      <w:numFmt w:val="bullet"/>
      <w:lvlText w:val=""/>
      <w:lvlJc w:val="left"/>
      <w:pPr>
        <w:tabs>
          <w:tab w:val="num" w:pos="5760"/>
        </w:tabs>
        <w:ind w:left="5760" w:hanging="360"/>
      </w:pPr>
      <w:rPr>
        <w:rFonts w:ascii="Wingdings" w:hAnsi="Wingdings" w:hint="default"/>
      </w:rPr>
    </w:lvl>
    <w:lvl w:ilvl="8" w:tplc="59E87F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36"/>
    <w:rsid w:val="00057975"/>
    <w:rsid w:val="00080596"/>
    <w:rsid w:val="0008535B"/>
    <w:rsid w:val="000A6552"/>
    <w:rsid w:val="000B55E5"/>
    <w:rsid w:val="000F4569"/>
    <w:rsid w:val="00131654"/>
    <w:rsid w:val="001760D2"/>
    <w:rsid w:val="001943A1"/>
    <w:rsid w:val="00247DC5"/>
    <w:rsid w:val="002D46E1"/>
    <w:rsid w:val="002D4AC7"/>
    <w:rsid w:val="002E24C8"/>
    <w:rsid w:val="00323414"/>
    <w:rsid w:val="0033513B"/>
    <w:rsid w:val="00366604"/>
    <w:rsid w:val="003E48B8"/>
    <w:rsid w:val="00402359"/>
    <w:rsid w:val="004138D6"/>
    <w:rsid w:val="004152FD"/>
    <w:rsid w:val="0042132A"/>
    <w:rsid w:val="004368A9"/>
    <w:rsid w:val="00436D5E"/>
    <w:rsid w:val="004A3F5C"/>
    <w:rsid w:val="004B7782"/>
    <w:rsid w:val="00505452"/>
    <w:rsid w:val="0051591E"/>
    <w:rsid w:val="005D0B4E"/>
    <w:rsid w:val="005D7D38"/>
    <w:rsid w:val="0061710F"/>
    <w:rsid w:val="00641109"/>
    <w:rsid w:val="00670110"/>
    <w:rsid w:val="006A4C43"/>
    <w:rsid w:val="006B4556"/>
    <w:rsid w:val="006E4C36"/>
    <w:rsid w:val="006E60BC"/>
    <w:rsid w:val="0070217B"/>
    <w:rsid w:val="007053CD"/>
    <w:rsid w:val="00715252"/>
    <w:rsid w:val="00737D23"/>
    <w:rsid w:val="007742FB"/>
    <w:rsid w:val="00825A52"/>
    <w:rsid w:val="0089267C"/>
    <w:rsid w:val="008E1868"/>
    <w:rsid w:val="009210BE"/>
    <w:rsid w:val="00934E30"/>
    <w:rsid w:val="00963174"/>
    <w:rsid w:val="00967F96"/>
    <w:rsid w:val="009739DE"/>
    <w:rsid w:val="009C2F1D"/>
    <w:rsid w:val="00A131A3"/>
    <w:rsid w:val="00A8516B"/>
    <w:rsid w:val="00AD2390"/>
    <w:rsid w:val="00AE308F"/>
    <w:rsid w:val="00AE6C21"/>
    <w:rsid w:val="00B0605F"/>
    <w:rsid w:val="00B10A08"/>
    <w:rsid w:val="00B25721"/>
    <w:rsid w:val="00B769AB"/>
    <w:rsid w:val="00BC3FAA"/>
    <w:rsid w:val="00BF0CC1"/>
    <w:rsid w:val="00BF3C18"/>
    <w:rsid w:val="00C253EA"/>
    <w:rsid w:val="00C347C1"/>
    <w:rsid w:val="00C63E01"/>
    <w:rsid w:val="00C77EE6"/>
    <w:rsid w:val="00CC58D9"/>
    <w:rsid w:val="00CF76BF"/>
    <w:rsid w:val="00D6620D"/>
    <w:rsid w:val="00D665C1"/>
    <w:rsid w:val="00D72099"/>
    <w:rsid w:val="00DB5AE0"/>
    <w:rsid w:val="00DE282A"/>
    <w:rsid w:val="00E5221C"/>
    <w:rsid w:val="00E76307"/>
    <w:rsid w:val="00EA37F4"/>
    <w:rsid w:val="00EA5461"/>
    <w:rsid w:val="00F0329A"/>
    <w:rsid w:val="00F558B9"/>
    <w:rsid w:val="00F55AE5"/>
    <w:rsid w:val="00F76307"/>
    <w:rsid w:val="00FD7579"/>
    <w:rsid w:val="00FF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BA688-F153-400B-8C44-B17CAE8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4C36"/>
    <w:pPr>
      <w:suppressAutoHyphens/>
      <w:autoSpaceDN w:val="0"/>
      <w:textAlignment w:val="baseline"/>
    </w:pPr>
    <w:rPr>
      <w:rFonts w:ascii="Calibri" w:eastAsia="SimSun" w:hAnsi="Calibri" w:cs="Calibri"/>
      <w:kern w:val="3"/>
    </w:rPr>
  </w:style>
  <w:style w:type="paragraph" w:styleId="NormalWeb">
    <w:name w:val="Normal (Web)"/>
    <w:basedOn w:val="Standard"/>
    <w:uiPriority w:val="99"/>
    <w:rsid w:val="006E4C36"/>
    <w:pPr>
      <w:spacing w:before="28" w:after="119"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6E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77EE6"/>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ListParagraph">
    <w:name w:val="List Paragraph"/>
    <w:basedOn w:val="Normal"/>
    <w:uiPriority w:val="34"/>
    <w:qFormat/>
    <w:rsid w:val="00131654"/>
    <w:pPr>
      <w:spacing w:after="0" w:line="240" w:lineRule="auto"/>
      <w:ind w:left="720"/>
      <w:contextualSpacing/>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10A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0A08"/>
  </w:style>
  <w:style w:type="paragraph" w:styleId="Footer">
    <w:name w:val="footer"/>
    <w:basedOn w:val="Normal"/>
    <w:link w:val="FooterChar"/>
    <w:uiPriority w:val="99"/>
    <w:unhideWhenUsed/>
    <w:rsid w:val="00B10A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815">
      <w:bodyDiv w:val="1"/>
      <w:marLeft w:val="0"/>
      <w:marRight w:val="0"/>
      <w:marTop w:val="0"/>
      <w:marBottom w:val="0"/>
      <w:divBdr>
        <w:top w:val="none" w:sz="0" w:space="0" w:color="auto"/>
        <w:left w:val="none" w:sz="0" w:space="0" w:color="auto"/>
        <w:bottom w:val="none" w:sz="0" w:space="0" w:color="auto"/>
        <w:right w:val="none" w:sz="0" w:space="0" w:color="auto"/>
      </w:divBdr>
      <w:divsChild>
        <w:div w:id="1512404750">
          <w:marLeft w:val="446"/>
          <w:marRight w:val="0"/>
          <w:marTop w:val="0"/>
          <w:marBottom w:val="0"/>
          <w:divBdr>
            <w:top w:val="none" w:sz="0" w:space="0" w:color="auto"/>
            <w:left w:val="none" w:sz="0" w:space="0" w:color="auto"/>
            <w:bottom w:val="none" w:sz="0" w:space="0" w:color="auto"/>
            <w:right w:val="none" w:sz="0" w:space="0" w:color="auto"/>
          </w:divBdr>
        </w:div>
      </w:divsChild>
    </w:div>
    <w:div w:id="241333174">
      <w:bodyDiv w:val="1"/>
      <w:marLeft w:val="0"/>
      <w:marRight w:val="0"/>
      <w:marTop w:val="0"/>
      <w:marBottom w:val="0"/>
      <w:divBdr>
        <w:top w:val="none" w:sz="0" w:space="0" w:color="auto"/>
        <w:left w:val="none" w:sz="0" w:space="0" w:color="auto"/>
        <w:bottom w:val="none" w:sz="0" w:space="0" w:color="auto"/>
        <w:right w:val="none" w:sz="0" w:space="0" w:color="auto"/>
      </w:divBdr>
    </w:div>
    <w:div w:id="295376733">
      <w:bodyDiv w:val="1"/>
      <w:marLeft w:val="0"/>
      <w:marRight w:val="0"/>
      <w:marTop w:val="0"/>
      <w:marBottom w:val="0"/>
      <w:divBdr>
        <w:top w:val="none" w:sz="0" w:space="0" w:color="auto"/>
        <w:left w:val="none" w:sz="0" w:space="0" w:color="auto"/>
        <w:bottom w:val="none" w:sz="0" w:space="0" w:color="auto"/>
        <w:right w:val="none" w:sz="0" w:space="0" w:color="auto"/>
      </w:divBdr>
      <w:divsChild>
        <w:div w:id="1222784871">
          <w:marLeft w:val="446"/>
          <w:marRight w:val="0"/>
          <w:marTop w:val="0"/>
          <w:marBottom w:val="0"/>
          <w:divBdr>
            <w:top w:val="none" w:sz="0" w:space="0" w:color="auto"/>
            <w:left w:val="none" w:sz="0" w:space="0" w:color="auto"/>
            <w:bottom w:val="none" w:sz="0" w:space="0" w:color="auto"/>
            <w:right w:val="none" w:sz="0" w:space="0" w:color="auto"/>
          </w:divBdr>
        </w:div>
      </w:divsChild>
    </w:div>
    <w:div w:id="365133060">
      <w:bodyDiv w:val="1"/>
      <w:marLeft w:val="0"/>
      <w:marRight w:val="0"/>
      <w:marTop w:val="0"/>
      <w:marBottom w:val="0"/>
      <w:divBdr>
        <w:top w:val="none" w:sz="0" w:space="0" w:color="auto"/>
        <w:left w:val="none" w:sz="0" w:space="0" w:color="auto"/>
        <w:bottom w:val="none" w:sz="0" w:space="0" w:color="auto"/>
        <w:right w:val="none" w:sz="0" w:space="0" w:color="auto"/>
      </w:divBdr>
    </w:div>
    <w:div w:id="441076338">
      <w:bodyDiv w:val="1"/>
      <w:marLeft w:val="0"/>
      <w:marRight w:val="0"/>
      <w:marTop w:val="0"/>
      <w:marBottom w:val="0"/>
      <w:divBdr>
        <w:top w:val="none" w:sz="0" w:space="0" w:color="auto"/>
        <w:left w:val="none" w:sz="0" w:space="0" w:color="auto"/>
        <w:bottom w:val="none" w:sz="0" w:space="0" w:color="auto"/>
        <w:right w:val="none" w:sz="0" w:space="0" w:color="auto"/>
      </w:divBdr>
      <w:divsChild>
        <w:div w:id="1884561124">
          <w:marLeft w:val="446"/>
          <w:marRight w:val="0"/>
          <w:marTop w:val="0"/>
          <w:marBottom w:val="0"/>
          <w:divBdr>
            <w:top w:val="none" w:sz="0" w:space="0" w:color="auto"/>
            <w:left w:val="none" w:sz="0" w:space="0" w:color="auto"/>
            <w:bottom w:val="none" w:sz="0" w:space="0" w:color="auto"/>
            <w:right w:val="none" w:sz="0" w:space="0" w:color="auto"/>
          </w:divBdr>
        </w:div>
      </w:divsChild>
    </w:div>
    <w:div w:id="706874032">
      <w:bodyDiv w:val="1"/>
      <w:marLeft w:val="0"/>
      <w:marRight w:val="0"/>
      <w:marTop w:val="0"/>
      <w:marBottom w:val="0"/>
      <w:divBdr>
        <w:top w:val="none" w:sz="0" w:space="0" w:color="auto"/>
        <w:left w:val="none" w:sz="0" w:space="0" w:color="auto"/>
        <w:bottom w:val="none" w:sz="0" w:space="0" w:color="auto"/>
        <w:right w:val="none" w:sz="0" w:space="0" w:color="auto"/>
      </w:divBdr>
      <w:divsChild>
        <w:div w:id="44110090">
          <w:marLeft w:val="0"/>
          <w:marRight w:val="0"/>
          <w:marTop w:val="225"/>
          <w:marBottom w:val="0"/>
          <w:divBdr>
            <w:top w:val="none" w:sz="0" w:space="0" w:color="auto"/>
            <w:left w:val="none" w:sz="0" w:space="0" w:color="auto"/>
            <w:bottom w:val="none" w:sz="0" w:space="0" w:color="auto"/>
            <w:right w:val="none" w:sz="0" w:space="0" w:color="auto"/>
          </w:divBdr>
        </w:div>
        <w:div w:id="1849753718">
          <w:marLeft w:val="0"/>
          <w:marRight w:val="469"/>
          <w:marTop w:val="255"/>
          <w:marBottom w:val="0"/>
          <w:divBdr>
            <w:top w:val="none" w:sz="0" w:space="0" w:color="auto"/>
            <w:left w:val="none" w:sz="0" w:space="0" w:color="auto"/>
            <w:bottom w:val="single" w:sz="12" w:space="23" w:color="DDDDDD"/>
            <w:right w:val="none" w:sz="0" w:space="0" w:color="auto"/>
          </w:divBdr>
          <w:divsChild>
            <w:div w:id="1022437175">
              <w:marLeft w:val="0"/>
              <w:marRight w:val="0"/>
              <w:marTop w:val="0"/>
              <w:marBottom w:val="0"/>
              <w:divBdr>
                <w:top w:val="none" w:sz="0" w:space="0" w:color="auto"/>
                <w:left w:val="none" w:sz="0" w:space="0" w:color="auto"/>
                <w:bottom w:val="none" w:sz="0" w:space="0" w:color="auto"/>
                <w:right w:val="none" w:sz="0" w:space="0" w:color="auto"/>
              </w:divBdr>
              <w:divsChild>
                <w:div w:id="1035734827">
                  <w:marLeft w:val="0"/>
                  <w:marRight w:val="0"/>
                  <w:marTop w:val="150"/>
                  <w:marBottom w:val="0"/>
                  <w:divBdr>
                    <w:top w:val="none" w:sz="0" w:space="0" w:color="auto"/>
                    <w:left w:val="none" w:sz="0" w:space="0" w:color="auto"/>
                    <w:bottom w:val="none" w:sz="0" w:space="0" w:color="auto"/>
                    <w:right w:val="none" w:sz="0" w:space="0" w:color="auto"/>
                  </w:divBdr>
                </w:div>
                <w:div w:id="2014019216">
                  <w:marLeft w:val="0"/>
                  <w:marRight w:val="350"/>
                  <w:marTop w:val="225"/>
                  <w:marBottom w:val="225"/>
                  <w:divBdr>
                    <w:top w:val="none" w:sz="0" w:space="0" w:color="auto"/>
                    <w:left w:val="none" w:sz="0" w:space="0" w:color="auto"/>
                    <w:bottom w:val="none" w:sz="0" w:space="0" w:color="auto"/>
                    <w:right w:val="none" w:sz="0" w:space="0" w:color="auto"/>
                  </w:divBdr>
                </w:div>
                <w:div w:id="400446311">
                  <w:marLeft w:val="0"/>
                  <w:marRight w:val="0"/>
                  <w:marTop w:val="150"/>
                  <w:marBottom w:val="0"/>
                  <w:divBdr>
                    <w:top w:val="none" w:sz="0" w:space="0" w:color="auto"/>
                    <w:left w:val="none" w:sz="0" w:space="0" w:color="auto"/>
                    <w:bottom w:val="none" w:sz="0" w:space="0" w:color="auto"/>
                    <w:right w:val="none" w:sz="0" w:space="0" w:color="auto"/>
                  </w:divBdr>
                  <w:divsChild>
                    <w:div w:id="1997217949">
                      <w:blockQuote w:val="1"/>
                      <w:marLeft w:val="0"/>
                      <w:marRight w:val="720"/>
                      <w:marTop w:val="100"/>
                      <w:marBottom w:val="100"/>
                      <w:divBdr>
                        <w:top w:val="none" w:sz="0" w:space="0" w:color="auto"/>
                        <w:left w:val="none" w:sz="0" w:space="0" w:color="auto"/>
                        <w:bottom w:val="none" w:sz="0" w:space="0" w:color="auto"/>
                        <w:right w:val="none" w:sz="0" w:space="0" w:color="auto"/>
                      </w:divBdr>
                    </w:div>
                    <w:div w:id="973566100">
                      <w:blockQuote w:val="1"/>
                      <w:marLeft w:val="0"/>
                      <w:marRight w:val="720"/>
                      <w:marTop w:val="100"/>
                      <w:marBottom w:val="100"/>
                      <w:divBdr>
                        <w:top w:val="none" w:sz="0" w:space="0" w:color="auto"/>
                        <w:left w:val="none" w:sz="0" w:space="0" w:color="auto"/>
                        <w:bottom w:val="none" w:sz="0" w:space="0" w:color="auto"/>
                        <w:right w:val="none" w:sz="0" w:space="0" w:color="auto"/>
                      </w:divBdr>
                    </w:div>
                    <w:div w:id="43767839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36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11060</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Исаева</dc:creator>
  <cp:keywords/>
  <dc:description/>
  <cp:lastModifiedBy>Новикова Ирина Александровна</cp:lastModifiedBy>
  <cp:revision>2</cp:revision>
  <dcterms:created xsi:type="dcterms:W3CDTF">2020-12-02T06:22:00Z</dcterms:created>
  <dcterms:modified xsi:type="dcterms:W3CDTF">2020-12-02T06:22:00Z</dcterms:modified>
</cp:coreProperties>
</file>